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B57AB" w14:textId="77777777" w:rsidR="00DE5782" w:rsidRPr="00EC49EC" w:rsidRDefault="00DE5782" w:rsidP="00221D2F">
      <w:pPr>
        <w:rPr>
          <w:rFonts w:asciiTheme="minorHAnsi" w:hAnsiTheme="minorHAnsi" w:cstheme="minorHAnsi"/>
          <w:sz w:val="16"/>
          <w:szCs w:val="16"/>
        </w:rPr>
      </w:pPr>
    </w:p>
    <w:p w14:paraId="5ABD3BDF" w14:textId="77777777" w:rsidR="008674F6" w:rsidRDefault="008674F6" w:rsidP="00221D2F">
      <w:pPr>
        <w:rPr>
          <w:rFonts w:asciiTheme="minorHAnsi" w:hAnsiTheme="minorHAnsi" w:cstheme="minorHAnsi"/>
          <w:sz w:val="16"/>
          <w:szCs w:val="16"/>
        </w:rPr>
      </w:pPr>
    </w:p>
    <w:p w14:paraId="6F51BB2B" w14:textId="6A86FB11" w:rsidR="00DE5782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>PROVA SCRITTA</w:t>
      </w:r>
      <w:r w:rsidR="00221D2F" w:rsidRPr="00B049AF">
        <w:rPr>
          <w:rFonts w:asciiTheme="minorHAnsi" w:hAnsiTheme="minorHAnsi" w:cstheme="minorHAnsi"/>
          <w:b/>
          <w:sz w:val="16"/>
          <w:szCs w:val="16"/>
        </w:rPr>
        <w:t xml:space="preserve"> DI </w:t>
      </w:r>
      <w:r w:rsidR="00EA6EEA" w:rsidRPr="00B049AF">
        <w:rPr>
          <w:rFonts w:asciiTheme="minorHAnsi" w:hAnsiTheme="minorHAnsi" w:cstheme="minorHAnsi"/>
          <w:b/>
          <w:sz w:val="16"/>
          <w:szCs w:val="16"/>
        </w:rPr>
        <w:t>ECONOMIA E GESTIONE DELLE IMPRESE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del 1</w:t>
      </w:r>
      <w:r w:rsidR="001D5C4F">
        <w:rPr>
          <w:rFonts w:asciiTheme="minorHAnsi" w:hAnsiTheme="minorHAnsi" w:cstheme="minorHAnsi"/>
          <w:b/>
          <w:sz w:val="16"/>
          <w:szCs w:val="16"/>
        </w:rPr>
        <w:t>6</w:t>
      </w:r>
      <w:r w:rsidRPr="00B049AF">
        <w:rPr>
          <w:rFonts w:asciiTheme="minorHAnsi" w:hAnsiTheme="minorHAnsi" w:cstheme="minorHAnsi"/>
          <w:b/>
          <w:sz w:val="16"/>
          <w:szCs w:val="16"/>
        </w:rPr>
        <w:t xml:space="preserve"> dicembre 201</w:t>
      </w:r>
      <w:r w:rsidR="001D5C4F">
        <w:rPr>
          <w:rFonts w:asciiTheme="minorHAnsi" w:hAnsiTheme="minorHAnsi" w:cstheme="minorHAnsi"/>
          <w:b/>
          <w:sz w:val="16"/>
          <w:szCs w:val="16"/>
        </w:rPr>
        <w:t>9</w:t>
      </w:r>
    </w:p>
    <w:p w14:paraId="66332649" w14:textId="77777777" w:rsidR="008674F6" w:rsidRPr="00B049AF" w:rsidRDefault="008674F6" w:rsidP="00221D2F">
      <w:pPr>
        <w:rPr>
          <w:rFonts w:asciiTheme="minorHAnsi" w:hAnsiTheme="minorHAnsi" w:cstheme="minorHAnsi"/>
          <w:b/>
          <w:sz w:val="16"/>
          <w:szCs w:val="16"/>
        </w:rPr>
      </w:pPr>
    </w:p>
    <w:p w14:paraId="08E3E615" w14:textId="41A80777" w:rsidR="008F2D0F" w:rsidRPr="00B049AF" w:rsidRDefault="008F2D0F" w:rsidP="00221D2F">
      <w:pPr>
        <w:rPr>
          <w:rFonts w:asciiTheme="minorHAnsi" w:hAnsiTheme="minorHAnsi" w:cstheme="minorHAnsi"/>
          <w:b/>
          <w:sz w:val="16"/>
          <w:szCs w:val="16"/>
        </w:rPr>
      </w:pPr>
      <w:r w:rsidRPr="00B049AF">
        <w:rPr>
          <w:rFonts w:asciiTheme="minorHAnsi" w:hAnsiTheme="minorHAnsi" w:cstheme="minorHAnsi"/>
          <w:b/>
          <w:sz w:val="16"/>
          <w:szCs w:val="16"/>
        </w:rPr>
        <w:t xml:space="preserve">N.ro MATRICOLA </w:t>
      </w:r>
      <w:r w:rsidR="002B2F4A" w:rsidRPr="00B049AF">
        <w:rPr>
          <w:rFonts w:asciiTheme="minorHAnsi" w:hAnsiTheme="minorHAnsi" w:cstheme="minorHAnsi"/>
          <w:b/>
          <w:sz w:val="16"/>
          <w:szCs w:val="16"/>
        </w:rPr>
        <w:t xml:space="preserve">DELLO STUDENTE </w:t>
      </w:r>
      <w:r w:rsidRPr="00B049AF">
        <w:rPr>
          <w:rFonts w:asciiTheme="minorHAnsi" w:hAnsiTheme="minorHAnsi" w:cstheme="minorHAnsi"/>
          <w:b/>
          <w:sz w:val="16"/>
          <w:szCs w:val="16"/>
        </w:rPr>
        <w:t>____________________________________</w:t>
      </w:r>
    </w:p>
    <w:p w14:paraId="45F6C345" w14:textId="77777777" w:rsidR="003D0E7B" w:rsidRPr="00EC49EC" w:rsidRDefault="003D0E7B" w:rsidP="00221D2F">
      <w:pPr>
        <w:rPr>
          <w:rFonts w:asciiTheme="minorHAnsi" w:hAnsiTheme="minorHAnsi" w:cstheme="minorHAnsi"/>
          <w:sz w:val="16"/>
          <w:szCs w:val="16"/>
        </w:rPr>
      </w:pPr>
    </w:p>
    <w:p w14:paraId="5442065E" w14:textId="77777777" w:rsidR="004746BA" w:rsidRPr="00EC49EC" w:rsidRDefault="00C17F23" w:rsidP="00417BEE">
      <w:pPr>
        <w:pStyle w:val="Paragrafoelenco"/>
        <w:numPr>
          <w:ilvl w:val="0"/>
          <w:numId w:val="1"/>
        </w:numPr>
        <w:rPr>
          <w:rFonts w:asciiTheme="minorHAnsi" w:hAnsiTheme="minorHAnsi" w:cstheme="minorHAnsi"/>
          <w:sz w:val="16"/>
          <w:szCs w:val="16"/>
        </w:rPr>
      </w:pPr>
      <w:r w:rsidRPr="00EC49EC">
        <w:rPr>
          <w:rFonts w:asciiTheme="minorHAnsi" w:hAnsiTheme="minorHAnsi" w:cstheme="minorHAnsi"/>
          <w:sz w:val="16"/>
          <w:szCs w:val="16"/>
        </w:rPr>
        <w:t xml:space="preserve">Si completi la tabella seguente con i numeri corretti. </w:t>
      </w:r>
    </w:p>
    <w:p w14:paraId="0E40AA58" w14:textId="08FA8D46" w:rsidR="000018A0" w:rsidRDefault="004746BA" w:rsidP="004746BA">
      <w:pPr>
        <w:pStyle w:val="Paragrafoelenco"/>
        <w:rPr>
          <w:rFonts w:asciiTheme="minorHAnsi" w:hAnsiTheme="minorHAnsi" w:cstheme="minorHAnsi"/>
          <w:b/>
          <w:sz w:val="16"/>
          <w:szCs w:val="16"/>
        </w:rPr>
      </w:pPr>
      <w:r w:rsidRPr="00EC49EC">
        <w:rPr>
          <w:rFonts w:asciiTheme="minorHAnsi" w:hAnsiTheme="minorHAnsi" w:cstheme="minorHAnsi"/>
          <w:b/>
          <w:sz w:val="16"/>
          <w:szCs w:val="16"/>
        </w:rPr>
        <w:t xml:space="preserve">SONO RICHIESTI ALMENO DUE ESERCIZI CORRETTAMENTE SVOLTI PERCHE’ LA PROVA POSSA ESSERE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VALUTATA </w:t>
      </w:r>
      <w:r w:rsidRPr="00EC49EC">
        <w:rPr>
          <w:rFonts w:asciiTheme="minorHAnsi" w:hAnsiTheme="minorHAnsi" w:cstheme="minorHAnsi"/>
          <w:b/>
          <w:sz w:val="16"/>
          <w:szCs w:val="16"/>
        </w:rPr>
        <w:t>ANCHE NELLE ALTRE SEZIONI.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PER LA SOLA SEZIONE DI ESERCIZI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 xml:space="preserve">NON SONO </w:t>
      </w:r>
      <w:r w:rsidR="001C1278" w:rsidRPr="00EC49EC">
        <w:rPr>
          <w:rFonts w:asciiTheme="minorHAnsi" w:hAnsiTheme="minorHAnsi" w:cstheme="minorHAnsi"/>
          <w:b/>
          <w:sz w:val="16"/>
          <w:szCs w:val="16"/>
        </w:rPr>
        <w:t xml:space="preserve">PREVISTE </w:t>
      </w:r>
      <w:r w:rsidR="00774BD4" w:rsidRPr="00EC49EC">
        <w:rPr>
          <w:rFonts w:asciiTheme="minorHAnsi" w:hAnsiTheme="minorHAnsi" w:cstheme="minorHAnsi"/>
          <w:b/>
          <w:sz w:val="16"/>
          <w:szCs w:val="16"/>
        </w:rPr>
        <w:t>PENALIZZAZIONI NEL CASO DI RISPOSTE SBAGLIATE.</w:t>
      </w:r>
    </w:p>
    <w:p w14:paraId="0F0A59B9" w14:textId="77777777" w:rsidR="00F92E8A" w:rsidRPr="00EC49EC" w:rsidRDefault="00F92E8A" w:rsidP="004746BA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915" w:type="dxa"/>
        <w:jc w:val="center"/>
        <w:tblLook w:val="04A0" w:firstRow="1" w:lastRow="0" w:firstColumn="1" w:lastColumn="0" w:noHBand="0" w:noVBand="1"/>
      </w:tblPr>
      <w:tblGrid>
        <w:gridCol w:w="6096"/>
        <w:gridCol w:w="4819"/>
      </w:tblGrid>
      <w:tr w:rsidR="00E14D1C" w:rsidRPr="00EC49EC" w14:paraId="374BF537" w14:textId="77777777" w:rsidTr="007B3FCD">
        <w:trPr>
          <w:jc w:val="center"/>
        </w:trPr>
        <w:tc>
          <w:tcPr>
            <w:tcW w:w="6096" w:type="dxa"/>
          </w:tcPr>
          <w:p w14:paraId="0CCFA700" w14:textId="3F986213" w:rsidR="00E14D1C" w:rsidRPr="00EC49EC" w:rsidRDefault="00E14D1C" w:rsidP="008E752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ESERCIZIO 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Anno 0 - Il capitale investito è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12.0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00.000 di euro, con un WACC del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9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%. Il costo del Debito è 6%. 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è 18%. La redditività operativa è 1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% sul capitale investito.</w:t>
            </w:r>
          </w:p>
          <w:p w14:paraId="15467568" w14:textId="2CCE8468" w:rsidR="00E14D1C" w:rsidRPr="00EC49EC" w:rsidRDefault="00E14D1C" w:rsidP="008E752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Anno 1 - L’impresa fa un aumento di capitale proprio (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) per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1.000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.000 euro e emette obbligazioni per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 xml:space="preserve">1.000.000. L’impresa ritiene che la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redditività operativa sul capitale investito, il costo dell’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e il costo del debito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 xml:space="preserve"> rimarranno inalterati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 </w:t>
            </w:r>
          </w:p>
        </w:tc>
        <w:tc>
          <w:tcPr>
            <w:tcW w:w="4819" w:type="dxa"/>
          </w:tcPr>
          <w:p w14:paraId="4B12D86B" w14:textId="2C2CAB83" w:rsidR="00E14D1C" w:rsidRPr="00EC49EC" w:rsidRDefault="00E14D1C" w:rsidP="000C4DF9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rapporto Attivo/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dell’anno </w:t>
            </w:r>
            <w:r w:rsidR="0022674A"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è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7/2</w:t>
            </w:r>
          </w:p>
          <w:p w14:paraId="2D055F35" w14:textId="77777777" w:rsidR="00E14D1C" w:rsidRPr="00EC49EC" w:rsidRDefault="00E14D1C" w:rsidP="000C4DF9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2224208" w14:textId="6AB594BF" w:rsidR="00E14D1C" w:rsidRPr="00EC49EC" w:rsidRDefault="00E14D1C" w:rsidP="00E65E14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Il reddito residuale (profitto economico) per l’anno 1 sarà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80.000</w:t>
            </w:r>
          </w:p>
        </w:tc>
      </w:tr>
      <w:tr w:rsidR="00E14D1C" w:rsidRPr="00EC49EC" w14:paraId="3951B99D" w14:textId="77777777" w:rsidTr="007B3FCD">
        <w:trPr>
          <w:trHeight w:val="719"/>
          <w:jc w:val="center"/>
        </w:trPr>
        <w:tc>
          <w:tcPr>
            <w:tcW w:w="6096" w:type="dxa"/>
          </w:tcPr>
          <w:p w14:paraId="780AFD51" w14:textId="571F5242" w:rsidR="00E14D1C" w:rsidRPr="00EC49EC" w:rsidRDefault="00E14D1C" w:rsidP="003447E7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2 -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percentuale di ricarico sui costi variabili è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00%</w:t>
            </w:r>
          </w:p>
          <w:p w14:paraId="58A5116C" w14:textId="1F7E7418" w:rsidR="00E14D1C" w:rsidRPr="00EC49EC" w:rsidRDefault="00BA05F0" w:rsidP="00AB625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margine di sicurezza è pari al 25%.</w:t>
            </w:r>
          </w:p>
        </w:tc>
        <w:tc>
          <w:tcPr>
            <w:tcW w:w="4819" w:type="dxa"/>
          </w:tcPr>
          <w:p w14:paraId="4F9A45F5" w14:textId="428D5A90" w:rsidR="00E14D1C" w:rsidRPr="00EC49EC" w:rsidRDefault="00E14D1C" w:rsidP="0044597B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margine di contribuzione è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10/11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(% o frazione) del fatturato </w:t>
            </w:r>
          </w:p>
          <w:p w14:paraId="6C7AAD28" w14:textId="752E9D42" w:rsidR="00E14D1C" w:rsidRPr="00EC49EC" w:rsidRDefault="00E14D1C" w:rsidP="00E65E14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L’elasticità dei costi (CV/CT) è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2/17</w:t>
            </w:r>
          </w:p>
        </w:tc>
      </w:tr>
      <w:tr w:rsidR="00E14D1C" w:rsidRPr="00EC49EC" w14:paraId="6A2C310C" w14:textId="77777777" w:rsidTr="007B3FCD">
        <w:trPr>
          <w:trHeight w:val="962"/>
          <w:jc w:val="center"/>
        </w:trPr>
        <w:tc>
          <w:tcPr>
            <w:tcW w:w="6096" w:type="dxa"/>
          </w:tcPr>
          <w:p w14:paraId="0F4A8D09" w14:textId="2849C20B" w:rsidR="00E14D1C" w:rsidRPr="00EC49EC" w:rsidRDefault="00E14D1C" w:rsidP="00A4220E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3 - 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 ciclo economico è pari a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20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giorni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 (rotazione annua totale delle scorte = </w:t>
            </w:r>
            <w:r w:rsidR="00AF00ED">
              <w:rPr>
                <w:rFonts w:asciiTheme="minorHAnsi" w:hAnsiTheme="minorHAnsi" w:cstheme="minorHAnsi"/>
                <w:sz w:val="16"/>
                <w:szCs w:val="16"/>
              </w:rPr>
              <w:t>Costo del Venduto/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Scorte totali = 18)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, mentre il ciclo monetario è pari a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10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giorni. I debiti verso fornitori sono pari a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3.660.000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(inclusa IVA 22%)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 gli acquisti annuali di beni e servizi sono pari a 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>18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milioni di euro. Anno = 360</w:t>
            </w:r>
          </w:p>
        </w:tc>
        <w:tc>
          <w:tcPr>
            <w:tcW w:w="4819" w:type="dxa"/>
          </w:tcPr>
          <w:p w14:paraId="3A11534F" w14:textId="6C67A343" w:rsidR="00E14D1C" w:rsidRDefault="00F22B97" w:rsidP="00322009">
            <w:pPr>
              <w:spacing w:before="120" w:after="120"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 rotazione annua totale delle scorte è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MAGGIORE</w:t>
            </w:r>
            <w:r w:rsidR="00BA05F0">
              <w:rPr>
                <w:rFonts w:asciiTheme="minorHAnsi" w:hAnsiTheme="minorHAnsi" w:cstheme="minorHAnsi"/>
                <w:sz w:val="16"/>
                <w:szCs w:val="16"/>
              </w:rPr>
              <w:t xml:space="preserve"> (maggiore, minore, uguale) della rotazione dei debiti verso fornitori. </w:t>
            </w:r>
          </w:p>
          <w:p w14:paraId="45B5CAA7" w14:textId="080A8323" w:rsidR="00E14D1C" w:rsidRPr="00EC49EC" w:rsidRDefault="00E14D1C" w:rsidP="00322009">
            <w:pPr>
              <w:spacing w:before="120" w:after="120" w:line="360" w:lineRule="auto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La durata dei crediti verso clienti è pari </w:t>
            </w:r>
            <w:r w:rsidR="00B81AFB">
              <w:rPr>
                <w:rFonts w:asciiTheme="minorHAnsi" w:hAnsiTheme="minorHAnsi" w:cstheme="minorHAnsi"/>
                <w:sz w:val="16"/>
                <w:szCs w:val="16"/>
              </w:rPr>
              <w:t xml:space="preserve">a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50 gg</w:t>
            </w:r>
          </w:p>
        </w:tc>
      </w:tr>
      <w:tr w:rsidR="00E14D1C" w:rsidRPr="00EC49EC" w14:paraId="5614E3DB" w14:textId="77777777" w:rsidTr="007B3FCD">
        <w:trPr>
          <w:trHeight w:val="1061"/>
          <w:jc w:val="center"/>
        </w:trPr>
        <w:tc>
          <w:tcPr>
            <w:tcW w:w="6096" w:type="dxa"/>
          </w:tcPr>
          <w:p w14:paraId="3C628508" w14:textId="7D173024" w:rsidR="00E14D1C" w:rsidRPr="00EC49EC" w:rsidRDefault="00E14D1C" w:rsidP="009E5452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4 -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 debiti dell’impresa sono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 xml:space="preserve">5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volte l’</w:t>
            </w: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. Il Profitto netto è pari a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1.0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00.000 euro. Il capitale investito è pari a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0.000.000 di euro e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la rotazione dell’attivo è pari a 2.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Per 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raddoppiare il ROE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l’impresa intende aumentare il fatturato, a parità di ROS</w:t>
            </w:r>
            <w:r w:rsidR="00CD6F17">
              <w:rPr>
                <w:rFonts w:asciiTheme="minorHAnsi" w:hAnsiTheme="minorHAnsi" w:cstheme="minorHAnsi"/>
                <w:sz w:val="16"/>
                <w:szCs w:val="16"/>
              </w:rPr>
              <w:t>, lasciando inalterata la leva finanziaria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819" w:type="dxa"/>
          </w:tcPr>
          <w:p w14:paraId="2A965E6C" w14:textId="15A40424" w:rsidR="00E14D1C" w:rsidRPr="00EC49EC" w:rsidRDefault="00E14D1C" w:rsidP="00B21E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Il ROE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iniziale è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30%</w:t>
            </w:r>
          </w:p>
          <w:p w14:paraId="65B118E5" w14:textId="33A8C5F6" w:rsidR="00E14D1C" w:rsidRPr="00EC49EC" w:rsidRDefault="00CD6F17" w:rsidP="00766E03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Per raddoppiare il</w:t>
            </w:r>
            <w:r w:rsidR="00E14D1C">
              <w:rPr>
                <w:rFonts w:asciiTheme="minorHAnsi" w:hAnsiTheme="minorHAnsi" w:cstheme="minorHAnsi"/>
                <w:sz w:val="16"/>
                <w:szCs w:val="16"/>
              </w:rPr>
              <w:t xml:space="preserve"> ROE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F00ED">
              <w:rPr>
                <w:rFonts w:asciiTheme="minorHAnsi" w:hAnsiTheme="minorHAnsi" w:cstheme="minorHAnsi"/>
                <w:sz w:val="16"/>
                <w:szCs w:val="16"/>
              </w:rPr>
              <w:t>il fatturato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dovrà 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 xml:space="preserve">crescere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del 100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 xml:space="preserve"> %</w:t>
            </w:r>
          </w:p>
        </w:tc>
      </w:tr>
      <w:tr w:rsidR="00E14D1C" w:rsidRPr="00EC49EC" w14:paraId="3CA3214A" w14:textId="77777777" w:rsidTr="007B3FCD">
        <w:trPr>
          <w:trHeight w:val="755"/>
          <w:jc w:val="center"/>
        </w:trPr>
        <w:tc>
          <w:tcPr>
            <w:tcW w:w="6096" w:type="dxa"/>
          </w:tcPr>
          <w:p w14:paraId="7A761A27" w14:textId="55902145" w:rsidR="00E14D1C" w:rsidRPr="00EC49EC" w:rsidRDefault="00E14D1C" w:rsidP="00AA43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ESERCIZIO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5.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All’attuale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(anno T0)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livello di vendite, i costi fissi sono il 20% </w:t>
            </w:r>
            <w:r w:rsidR="00DA71C4">
              <w:rPr>
                <w:rFonts w:asciiTheme="minorHAnsi" w:hAnsiTheme="minorHAnsi" w:cstheme="minorHAnsi"/>
                <w:sz w:val="16"/>
                <w:szCs w:val="16"/>
              </w:rPr>
              <w:t>più bassi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dei costi variabili. Il margine di contribuzione è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del </w:t>
            </w:r>
            <w:r w:rsidR="00DA71C4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0%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>superiore ai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costi fissi. Immaginiamo che – </w:t>
            </w:r>
            <w:r w:rsidR="00DA71C4">
              <w:rPr>
                <w:rFonts w:asciiTheme="minorHAnsi" w:hAnsiTheme="minorHAnsi" w:cstheme="minorHAnsi"/>
                <w:sz w:val="16"/>
                <w:szCs w:val="16"/>
              </w:rPr>
              <w:t>grazie ad un aumento della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domanda di mercato - i volumi di vendita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dell’anno T1 </w:t>
            </w:r>
            <w:r w:rsidR="00DA71C4">
              <w:rPr>
                <w:rFonts w:asciiTheme="minorHAnsi" w:hAnsiTheme="minorHAnsi" w:cstheme="minorHAnsi"/>
                <w:sz w:val="16"/>
                <w:szCs w:val="16"/>
              </w:rPr>
              <w:t xml:space="preserve">crescano del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  <w:r w:rsidR="00DA71C4">
              <w:rPr>
                <w:rFonts w:asciiTheme="minorHAnsi" w:hAnsiTheme="minorHAnsi" w:cstheme="minorHAnsi"/>
                <w:sz w:val="16"/>
                <w:szCs w:val="16"/>
              </w:rPr>
              <w:t>%</w:t>
            </w:r>
            <w:r w:rsidR="002A39F2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  <w:tc>
          <w:tcPr>
            <w:tcW w:w="4819" w:type="dxa"/>
          </w:tcPr>
          <w:p w14:paraId="1FD642F4" w14:textId="2166AF0C" w:rsidR="00E14D1C" w:rsidRPr="00EC49EC" w:rsidRDefault="00FF64BA" w:rsidP="00B21EFA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</w:t>
            </w:r>
            <w:r w:rsidR="00D03A59">
              <w:rPr>
                <w:rFonts w:asciiTheme="minorHAnsi" w:hAnsiTheme="minorHAnsi" w:cstheme="minorHAnsi"/>
                <w:sz w:val="16"/>
                <w:szCs w:val="16"/>
              </w:rPr>
              <w:t xml:space="preserve"> margine di sicurezza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(Fatturato -</w:t>
            </w:r>
            <w:proofErr w:type="spellStart"/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Fpareggio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)/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Fatturato  </w:t>
            </w:r>
            <w:r w:rsidR="00D03A59">
              <w:rPr>
                <w:rFonts w:asciiTheme="minorHAnsi" w:hAnsiTheme="minorHAnsi" w:cstheme="minorHAnsi"/>
                <w:sz w:val="16"/>
                <w:szCs w:val="16"/>
              </w:rPr>
              <w:t xml:space="preserve">in T1 sarà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55,5%</w:t>
            </w:r>
          </w:p>
          <w:p w14:paraId="79D35CFC" w14:textId="71ACD3D8" w:rsidR="00E14D1C" w:rsidRPr="00EC49EC" w:rsidRDefault="00E14D1C" w:rsidP="00D7143C">
            <w:pPr>
              <w:spacing w:before="120" w:after="120"/>
              <w:rPr>
                <w:rFonts w:asciiTheme="minorHAnsi" w:hAnsiTheme="minorHAnsi" w:cstheme="minorHAnsi"/>
                <w:sz w:val="16"/>
                <w:szCs w:val="16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Dopo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>la crescita del 50%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delle vendite il reddito netto dell’impresa 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per l’anno T1 sarà </w:t>
            </w:r>
            <w:r w:rsidR="00ED3383">
              <w:rPr>
                <w:rFonts w:asciiTheme="minorHAnsi" w:hAnsiTheme="minorHAnsi" w:cstheme="minorHAnsi"/>
                <w:sz w:val="16"/>
                <w:szCs w:val="16"/>
              </w:rPr>
              <w:t>cresciuto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 del </w:t>
            </w:r>
            <w:r w:rsidR="001F39B2">
              <w:rPr>
                <w:rFonts w:asciiTheme="minorHAnsi" w:hAnsiTheme="minorHAnsi" w:cstheme="minorHAnsi"/>
                <w:sz w:val="16"/>
                <w:szCs w:val="16"/>
              </w:rPr>
              <w:t>150</w:t>
            </w:r>
            <w:r w:rsidR="00AA3B20">
              <w:rPr>
                <w:rFonts w:asciiTheme="minorHAnsi" w:hAnsiTheme="minorHAnsi" w:cstheme="minorHAnsi"/>
                <w:sz w:val="16"/>
                <w:szCs w:val="16"/>
              </w:rPr>
              <w:t xml:space="preserve"> % rispetto a T0</w:t>
            </w:r>
          </w:p>
        </w:tc>
      </w:tr>
    </w:tbl>
    <w:p w14:paraId="705F0974" w14:textId="77777777" w:rsidR="00F92E8A" w:rsidRDefault="00F92E8A" w:rsidP="00F92E8A">
      <w:pPr>
        <w:rPr>
          <w:rFonts w:asciiTheme="minorHAnsi" w:hAnsiTheme="minorHAnsi" w:cstheme="minorHAnsi"/>
          <w:sz w:val="16"/>
          <w:szCs w:val="16"/>
        </w:rPr>
      </w:pPr>
    </w:p>
    <w:p w14:paraId="6199B707" w14:textId="5A79091A" w:rsidR="00C57924" w:rsidRPr="00F92E8A" w:rsidRDefault="009A0512" w:rsidP="00F92E8A">
      <w:pPr>
        <w:rPr>
          <w:rFonts w:asciiTheme="minorHAnsi" w:hAnsiTheme="minorHAnsi" w:cstheme="minorHAnsi"/>
          <w:b/>
          <w:sz w:val="16"/>
          <w:szCs w:val="16"/>
        </w:rPr>
      </w:pPr>
      <w:r w:rsidRPr="00F92E8A">
        <w:rPr>
          <w:rFonts w:asciiTheme="minorHAnsi" w:hAnsiTheme="minorHAnsi" w:cstheme="minorHAnsi"/>
          <w:sz w:val="16"/>
          <w:szCs w:val="16"/>
        </w:rPr>
        <w:t xml:space="preserve">Le seguenti proposizioni possono essere vere (V) o false (F). Si metta una </w:t>
      </w:r>
      <w:r w:rsidRPr="00F92E8A">
        <w:rPr>
          <w:rFonts w:asciiTheme="minorHAnsi" w:hAnsiTheme="minorHAnsi" w:cstheme="minorHAnsi"/>
          <w:b/>
          <w:sz w:val="16"/>
          <w:szCs w:val="16"/>
        </w:rPr>
        <w:t>crocetta</w:t>
      </w:r>
      <w:r w:rsidRPr="00F92E8A">
        <w:rPr>
          <w:rFonts w:asciiTheme="minorHAnsi" w:hAnsiTheme="minorHAnsi" w:cstheme="minorHAnsi"/>
          <w:sz w:val="16"/>
          <w:szCs w:val="16"/>
        </w:rPr>
        <w:t xml:space="preserve"> sulla colonna appropriata. </w:t>
      </w:r>
      <w:r w:rsidR="00D227B7" w:rsidRPr="00F92E8A">
        <w:rPr>
          <w:rFonts w:asciiTheme="minorHAnsi" w:hAnsiTheme="minorHAnsi" w:cstheme="minorHAnsi"/>
          <w:b/>
          <w:sz w:val="16"/>
          <w:szCs w:val="16"/>
        </w:rPr>
        <w:t>SONO PREVISTE PENALIZZAZIONI PER LE RISPOSTE SBAGLIATE</w:t>
      </w: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A12684" w:rsidRPr="00EC49EC" w14:paraId="518432A1" w14:textId="77777777" w:rsidTr="007B3FCD">
        <w:trPr>
          <w:tblHeader/>
          <w:jc w:val="center"/>
        </w:trPr>
        <w:tc>
          <w:tcPr>
            <w:tcW w:w="9917" w:type="dxa"/>
          </w:tcPr>
          <w:p w14:paraId="313A200B" w14:textId="77777777" w:rsidR="00A12684" w:rsidRPr="00EC49EC" w:rsidRDefault="00A12684" w:rsidP="0013366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60" w:type="dxa"/>
          </w:tcPr>
          <w:p w14:paraId="1DEC1DF7" w14:textId="25F2E156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64649A7" w14:textId="13454DCB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 w:rsidR="00F92E8A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A12684" w:rsidRPr="00EC49EC" w14:paraId="7EE74047" w14:textId="77777777" w:rsidTr="007B3FCD">
        <w:trPr>
          <w:jc w:val="center"/>
        </w:trPr>
        <w:tc>
          <w:tcPr>
            <w:tcW w:w="9917" w:type="dxa"/>
          </w:tcPr>
          <w:p w14:paraId="579735B6" w14:textId="5842F0E1" w:rsidR="00A12684" w:rsidRPr="00EC49EC" w:rsidRDefault="000845C0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L’elasticità dei profitti a</w:t>
            </w:r>
            <w:r w:rsidR="00AA0C82">
              <w:rPr>
                <w:rFonts w:asciiTheme="minorHAnsi" w:hAnsiTheme="minorHAnsi" w:cstheme="minorHAnsi"/>
                <w:sz w:val="16"/>
                <w:szCs w:val="16"/>
              </w:rPr>
              <w:t>lle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variazioni delle quantità vendute </w:t>
            </w:r>
            <w:r w:rsidR="00AA0C82">
              <w:rPr>
                <w:rFonts w:asciiTheme="minorHAnsi" w:hAnsiTheme="minorHAnsi" w:cstheme="minorHAnsi"/>
                <w:sz w:val="16"/>
                <w:szCs w:val="16"/>
              </w:rPr>
              <w:t xml:space="preserve">(leva operativa)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è pari alla derivata della funzione del profitto rispetto alle quantità</w:t>
            </w:r>
          </w:p>
        </w:tc>
        <w:tc>
          <w:tcPr>
            <w:tcW w:w="460" w:type="dxa"/>
          </w:tcPr>
          <w:p w14:paraId="5EF45E2F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FCE0D76" w14:textId="0E48023A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0073459" w14:textId="77777777" w:rsidTr="007B3FCD">
        <w:trPr>
          <w:jc w:val="center"/>
        </w:trPr>
        <w:tc>
          <w:tcPr>
            <w:tcW w:w="9917" w:type="dxa"/>
          </w:tcPr>
          <w:p w14:paraId="0899F0E3" w14:textId="70406D4E" w:rsidR="00A12684" w:rsidRPr="00EC49EC" w:rsidRDefault="000845C0" w:rsidP="00846D4B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leva operativa è il reciproco del margine di sicurezza</w:t>
            </w:r>
          </w:p>
        </w:tc>
        <w:tc>
          <w:tcPr>
            <w:tcW w:w="460" w:type="dxa"/>
          </w:tcPr>
          <w:p w14:paraId="14BAE924" w14:textId="7B8A2F2D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18ED827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4C0B611F" w14:textId="77777777" w:rsidTr="007B3FCD">
        <w:trPr>
          <w:jc w:val="center"/>
        </w:trPr>
        <w:tc>
          <w:tcPr>
            <w:tcW w:w="9917" w:type="dxa"/>
          </w:tcPr>
          <w:p w14:paraId="6F700E8D" w14:textId="3B19BB19" w:rsidR="00A12684" w:rsidRPr="00EC49EC" w:rsidRDefault="000845C0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Per profitti positivi, la leva operativa assume valori positivi, ma mai inferiori a 1</w:t>
            </w:r>
          </w:p>
        </w:tc>
        <w:tc>
          <w:tcPr>
            <w:tcW w:w="460" w:type="dxa"/>
          </w:tcPr>
          <w:p w14:paraId="38EB175B" w14:textId="7F40D5D1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DEBD9B3" w14:textId="1C884CCD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78E0AF81" w14:textId="77777777" w:rsidTr="007B3FCD">
        <w:trPr>
          <w:jc w:val="center"/>
        </w:trPr>
        <w:tc>
          <w:tcPr>
            <w:tcW w:w="9917" w:type="dxa"/>
          </w:tcPr>
          <w:p w14:paraId="3FAB1817" w14:textId="547985BE" w:rsidR="00A12684" w:rsidRPr="00EC49EC" w:rsidRDefault="000845C0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La separazione tra proprietà e management è più elevata nelle imprese di Stato rispetto alle imprese Quotate in Borsa</w:t>
            </w:r>
          </w:p>
        </w:tc>
        <w:tc>
          <w:tcPr>
            <w:tcW w:w="460" w:type="dxa"/>
          </w:tcPr>
          <w:p w14:paraId="21C805FF" w14:textId="33F708EC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19AC0BC" w14:textId="7557B885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04455F81" w14:textId="77777777" w:rsidTr="007B3FCD">
        <w:trPr>
          <w:jc w:val="center"/>
        </w:trPr>
        <w:tc>
          <w:tcPr>
            <w:tcW w:w="9917" w:type="dxa"/>
          </w:tcPr>
          <w:p w14:paraId="33400E15" w14:textId="27CB1DB6" w:rsidR="00A12684" w:rsidRPr="00EC49EC" w:rsidRDefault="00453E4D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Per loro natura, le </w:t>
            </w:r>
            <w:r w:rsidR="000845C0">
              <w:rPr>
                <w:rFonts w:asciiTheme="minorHAnsi" w:hAnsiTheme="minorHAnsi" w:cstheme="minorHAnsi"/>
                <w:sz w:val="16"/>
                <w:szCs w:val="16"/>
              </w:rPr>
              <w:t xml:space="preserve">Public company hanno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una composizione dell’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più frammentata</w:t>
            </w:r>
            <w:r w:rsidR="000845C0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delle Private Companies</w:t>
            </w:r>
          </w:p>
        </w:tc>
        <w:tc>
          <w:tcPr>
            <w:tcW w:w="460" w:type="dxa"/>
          </w:tcPr>
          <w:p w14:paraId="3B69189E" w14:textId="414EC16D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9E228D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49769224" w14:textId="77777777" w:rsidTr="007B3FCD">
        <w:trPr>
          <w:jc w:val="center"/>
        </w:trPr>
        <w:tc>
          <w:tcPr>
            <w:tcW w:w="9917" w:type="dxa"/>
          </w:tcPr>
          <w:p w14:paraId="55B4DBE3" w14:textId="5F811DC7" w:rsidR="00A12684" w:rsidRPr="00EC49EC" w:rsidRDefault="00453E4D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“valore condiviso” corrisponde all’utile distribuito</w:t>
            </w:r>
          </w:p>
        </w:tc>
        <w:tc>
          <w:tcPr>
            <w:tcW w:w="460" w:type="dxa"/>
          </w:tcPr>
          <w:p w14:paraId="1664812A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8BBD8BD" w14:textId="055F36DC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E71FDCB" w14:textId="77777777" w:rsidTr="007B3FCD">
        <w:trPr>
          <w:jc w:val="center"/>
        </w:trPr>
        <w:tc>
          <w:tcPr>
            <w:tcW w:w="9917" w:type="dxa"/>
          </w:tcPr>
          <w:p w14:paraId="64D153DB" w14:textId="52D6890B" w:rsidR="00A12684" w:rsidRPr="00EC49EC" w:rsidRDefault="00AA0C82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Secondo il</w:t>
            </w:r>
            <w:r w:rsidR="00453E4D">
              <w:rPr>
                <w:rFonts w:asciiTheme="minorHAnsi" w:hAnsiTheme="minorHAnsi" w:cstheme="minorHAnsi"/>
                <w:sz w:val="16"/>
                <w:szCs w:val="16"/>
              </w:rPr>
              <w:t xml:space="preserve"> business model </w:t>
            </w:r>
            <w:proofErr w:type="spellStart"/>
            <w:r w:rsidR="00453E4D">
              <w:rPr>
                <w:rFonts w:asciiTheme="minorHAnsi" w:hAnsiTheme="minorHAnsi" w:cstheme="minorHAnsi"/>
                <w:sz w:val="16"/>
                <w:szCs w:val="16"/>
              </w:rPr>
              <w:t>canvas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l’impresa che modifichi la propria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value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proposition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potrà dover modificare anche il target di clientela e le attività da svolgere </w:t>
            </w:r>
          </w:p>
        </w:tc>
        <w:tc>
          <w:tcPr>
            <w:tcW w:w="460" w:type="dxa"/>
          </w:tcPr>
          <w:p w14:paraId="4D8ADE29" w14:textId="30C85B9B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379B06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5157FEA3" w14:textId="77777777" w:rsidTr="007B3FCD">
        <w:trPr>
          <w:jc w:val="center"/>
        </w:trPr>
        <w:tc>
          <w:tcPr>
            <w:tcW w:w="9917" w:type="dxa"/>
          </w:tcPr>
          <w:p w14:paraId="1EDDF6B4" w14:textId="1B4F8BF0" w:rsidR="00A12684" w:rsidRPr="00EC49EC" w:rsidRDefault="00AA0C82" w:rsidP="00657242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legittimazione degli stakeholder è inversamente proporzionale al loro potere, secondo il modello della “stakeholder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salience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”</w:t>
            </w:r>
          </w:p>
        </w:tc>
        <w:tc>
          <w:tcPr>
            <w:tcW w:w="460" w:type="dxa"/>
          </w:tcPr>
          <w:p w14:paraId="444E14D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02820720" w14:textId="116F204E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12590700" w14:textId="77777777" w:rsidTr="007B3FCD">
        <w:trPr>
          <w:jc w:val="center"/>
        </w:trPr>
        <w:tc>
          <w:tcPr>
            <w:tcW w:w="9917" w:type="dxa"/>
          </w:tcPr>
          <w:p w14:paraId="7A5A98A3" w14:textId="632FF674" w:rsidR="00A12684" w:rsidRPr="00EC49EC" w:rsidRDefault="00934962" w:rsidP="00EA7C0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CEO (amministratore delegato) non può </w:t>
            </w:r>
            <w:r w:rsidR="004C1036">
              <w:rPr>
                <w:rFonts w:asciiTheme="minorHAnsi" w:hAnsiTheme="minorHAnsi" w:cstheme="minorHAnsi"/>
                <w:sz w:val="16"/>
                <w:szCs w:val="16"/>
              </w:rPr>
              <w:t>svolgere funzioni imprenditoriali ma soltanto manageriali</w:t>
            </w:r>
          </w:p>
        </w:tc>
        <w:tc>
          <w:tcPr>
            <w:tcW w:w="460" w:type="dxa"/>
          </w:tcPr>
          <w:p w14:paraId="009E9370" w14:textId="2A402AC1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E8AEAA8" w14:textId="6F36FF63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33E00C6D" w14:textId="77777777" w:rsidTr="007B3FCD">
        <w:trPr>
          <w:jc w:val="center"/>
        </w:trPr>
        <w:tc>
          <w:tcPr>
            <w:tcW w:w="9917" w:type="dxa"/>
          </w:tcPr>
          <w:p w14:paraId="7C6E5361" w14:textId="0EE0AFE3" w:rsidR="00A12684" w:rsidRPr="00EC49EC" w:rsidRDefault="00AA0C82" w:rsidP="000C5E34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Tutte le società di capitali devono nominare consiglieri indipendenti nel consiglio di amministrazione</w:t>
            </w:r>
          </w:p>
        </w:tc>
        <w:tc>
          <w:tcPr>
            <w:tcW w:w="460" w:type="dxa"/>
          </w:tcPr>
          <w:p w14:paraId="2F819BE9" w14:textId="7AB500FB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A47143C" w14:textId="2BF07BDE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71BEABDD" w14:textId="77777777" w:rsidTr="007B3FCD">
        <w:trPr>
          <w:jc w:val="center"/>
        </w:trPr>
        <w:tc>
          <w:tcPr>
            <w:tcW w:w="9917" w:type="dxa"/>
          </w:tcPr>
          <w:p w14:paraId="35498824" w14:textId="2870591E" w:rsidR="00A12684" w:rsidRPr="00EC49EC" w:rsidRDefault="00AA0C82" w:rsidP="00FC01FC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costi di agenzia sono maggiori nelle società di persone (responsabilità illimitata) rispetto alle società di capitali (responsabilità limitata)</w:t>
            </w:r>
          </w:p>
        </w:tc>
        <w:tc>
          <w:tcPr>
            <w:tcW w:w="460" w:type="dxa"/>
          </w:tcPr>
          <w:p w14:paraId="60F89F0C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CFA849F" w14:textId="43CCB3B6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35DFBF79" w14:textId="77777777" w:rsidTr="007B3FCD">
        <w:trPr>
          <w:jc w:val="center"/>
        </w:trPr>
        <w:tc>
          <w:tcPr>
            <w:tcW w:w="9917" w:type="dxa"/>
          </w:tcPr>
          <w:p w14:paraId="5C3C86B3" w14:textId="1BC242EE" w:rsidR="00A12684" w:rsidRPr="00EC49EC" w:rsidRDefault="00AA0C82" w:rsidP="00BF6D4A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costi di agenzia crescono all’aumentare della remunerazione dei manager</w:t>
            </w:r>
          </w:p>
        </w:tc>
        <w:tc>
          <w:tcPr>
            <w:tcW w:w="460" w:type="dxa"/>
          </w:tcPr>
          <w:p w14:paraId="19087099" w14:textId="784E77B1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3D462D0" w14:textId="1F173293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759C44EB" w14:textId="77777777" w:rsidTr="007B3FCD">
        <w:trPr>
          <w:jc w:val="center"/>
        </w:trPr>
        <w:tc>
          <w:tcPr>
            <w:tcW w:w="9917" w:type="dxa"/>
          </w:tcPr>
          <w:p w14:paraId="63C14CD0" w14:textId="31D3FF1C" w:rsidR="00A12684" w:rsidRPr="00EC49EC" w:rsidRDefault="008171B6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rapporto EBITDA/EBIT è tanto più elevato tanto maggiori sono gli ammortamenti, a parità di altre variabili</w:t>
            </w:r>
          </w:p>
        </w:tc>
        <w:tc>
          <w:tcPr>
            <w:tcW w:w="460" w:type="dxa"/>
          </w:tcPr>
          <w:p w14:paraId="09ACA8D3" w14:textId="57FBE2A1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FD55149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2684" w:rsidRPr="00EC49EC" w14:paraId="56A2347C" w14:textId="77777777" w:rsidTr="007B3FCD">
        <w:trPr>
          <w:jc w:val="center"/>
        </w:trPr>
        <w:tc>
          <w:tcPr>
            <w:tcW w:w="9917" w:type="dxa"/>
          </w:tcPr>
          <w:p w14:paraId="070CDEB1" w14:textId="1BDFBBF5" w:rsidR="00A12684" w:rsidRPr="00EC49EC" w:rsidRDefault="008171B6" w:rsidP="00BC3D5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costi affondati non assumono rilievo ai fini della contabilità generale</w:t>
            </w:r>
          </w:p>
        </w:tc>
        <w:tc>
          <w:tcPr>
            <w:tcW w:w="460" w:type="dxa"/>
          </w:tcPr>
          <w:p w14:paraId="13C7CE65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7345C4F7" w14:textId="75322149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4F0ABF0C" w14:textId="77777777" w:rsidTr="007B3FCD">
        <w:trPr>
          <w:jc w:val="center"/>
        </w:trPr>
        <w:tc>
          <w:tcPr>
            <w:tcW w:w="9917" w:type="dxa"/>
          </w:tcPr>
          <w:p w14:paraId="27C46386" w14:textId="727463B0" w:rsidR="00A12684" w:rsidRPr="00EC49EC" w:rsidRDefault="00107DAF" w:rsidP="00122D2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L’EBITDA è tanto maggiore rispetto all’EBIT quanto </w:t>
            </w:r>
            <w:r w:rsidR="00BC1AA7">
              <w:rPr>
                <w:rFonts w:asciiTheme="minorHAnsi" w:hAnsiTheme="minorHAnsi" w:cstheme="minorHAnsi"/>
                <w:sz w:val="16"/>
                <w:szCs w:val="16"/>
              </w:rPr>
              <w:t>maggiore è la variazione del CCN</w:t>
            </w:r>
          </w:p>
        </w:tc>
        <w:tc>
          <w:tcPr>
            <w:tcW w:w="460" w:type="dxa"/>
          </w:tcPr>
          <w:p w14:paraId="342AC36D" w14:textId="7AC983DF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67980BD4" w14:textId="1F33F5D1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16B6FBF5" w14:textId="77777777" w:rsidTr="007B3FCD">
        <w:trPr>
          <w:jc w:val="center"/>
        </w:trPr>
        <w:tc>
          <w:tcPr>
            <w:tcW w:w="9917" w:type="dxa"/>
          </w:tcPr>
          <w:p w14:paraId="6A5012F0" w14:textId="40CE6F5B" w:rsidR="00A12684" w:rsidRPr="00EC49EC" w:rsidRDefault="008171B6" w:rsidP="0082646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Maggiore la leva dei prezzi, minori i costi marginali</w:t>
            </w:r>
          </w:p>
        </w:tc>
        <w:tc>
          <w:tcPr>
            <w:tcW w:w="460" w:type="dxa"/>
          </w:tcPr>
          <w:p w14:paraId="1CF36A64" w14:textId="77777777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14532B4" w14:textId="276A15FD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A12684" w:rsidRPr="00EC49EC" w14:paraId="27CD7B98" w14:textId="77777777" w:rsidTr="007B3FCD">
        <w:trPr>
          <w:jc w:val="center"/>
        </w:trPr>
        <w:tc>
          <w:tcPr>
            <w:tcW w:w="9917" w:type="dxa"/>
          </w:tcPr>
          <w:p w14:paraId="04ECB44F" w14:textId="32D29F60" w:rsidR="00A12684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Il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mark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>-up (ricarico) va definito anche sulla base dei costi fissi</w:t>
            </w:r>
          </w:p>
        </w:tc>
        <w:tc>
          <w:tcPr>
            <w:tcW w:w="460" w:type="dxa"/>
          </w:tcPr>
          <w:p w14:paraId="07CDE70F" w14:textId="2BDA5431" w:rsidR="00A12684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125F24F" w14:textId="48391273" w:rsidR="00A12684" w:rsidRPr="00EC49EC" w:rsidRDefault="00A12684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94CD7" w:rsidRPr="00EC49EC" w14:paraId="4626F8CE" w14:textId="77777777" w:rsidTr="007B3FCD">
        <w:trPr>
          <w:jc w:val="center"/>
        </w:trPr>
        <w:tc>
          <w:tcPr>
            <w:tcW w:w="9917" w:type="dxa"/>
          </w:tcPr>
          <w:p w14:paraId="695EDFD1" w14:textId="55727FC9" w:rsidR="00F94CD7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Al variare del grado di integrazione verticale tende a modificarsi il rapporto tra Fatturato e Numero di Dipendenti, mentre può anche rimanere costante il rapporto tra Valore Aggiunto e Numero di Dipendenti.</w:t>
            </w:r>
          </w:p>
        </w:tc>
        <w:tc>
          <w:tcPr>
            <w:tcW w:w="460" w:type="dxa"/>
          </w:tcPr>
          <w:p w14:paraId="77BD4FBB" w14:textId="71DCA800" w:rsidR="00F94CD7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34A8ADF9" w14:textId="77777777" w:rsidR="00F94CD7" w:rsidRPr="00EC49EC" w:rsidRDefault="00F94CD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94CD7" w:rsidRPr="00EC49EC" w14:paraId="360823D5" w14:textId="77777777" w:rsidTr="007B3FCD">
        <w:trPr>
          <w:jc w:val="center"/>
        </w:trPr>
        <w:tc>
          <w:tcPr>
            <w:tcW w:w="9917" w:type="dxa"/>
          </w:tcPr>
          <w:p w14:paraId="4D1FBC02" w14:textId="119946CB" w:rsidR="00F94CD7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variazioni del CCN hanno un impatto sulla gestione finanziaria dell’impresa</w:t>
            </w:r>
          </w:p>
        </w:tc>
        <w:tc>
          <w:tcPr>
            <w:tcW w:w="460" w:type="dxa"/>
          </w:tcPr>
          <w:p w14:paraId="557C727D" w14:textId="3925FDCA" w:rsidR="00F94CD7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241167B" w14:textId="2F46B939" w:rsidR="00F94CD7" w:rsidRPr="00EC49EC" w:rsidRDefault="00F94CD7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1D89BA7D" w14:textId="77777777" w:rsidTr="007B3FCD">
        <w:trPr>
          <w:jc w:val="center"/>
        </w:trPr>
        <w:tc>
          <w:tcPr>
            <w:tcW w:w="9917" w:type="dxa"/>
          </w:tcPr>
          <w:p w14:paraId="3035AB3E" w14:textId="5EFD77A7" w:rsidR="00D701EA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 w:cstheme="minorHAnsi"/>
                <w:sz w:val="16"/>
                <w:szCs w:val="16"/>
              </w:rPr>
              <w:t>E’</w:t>
            </w:r>
            <w:proofErr w:type="gram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meglio avere un ciclo monetario inferiore al ciclo economico piuttosto che un ciclo economico inferiore al ciclo monetario. </w:t>
            </w:r>
          </w:p>
        </w:tc>
        <w:tc>
          <w:tcPr>
            <w:tcW w:w="460" w:type="dxa"/>
          </w:tcPr>
          <w:p w14:paraId="15F74038" w14:textId="0185F68B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9675DE3" w14:textId="473C7B80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0BA72F7A" w14:textId="77777777" w:rsidTr="007B3FCD">
        <w:trPr>
          <w:jc w:val="center"/>
        </w:trPr>
        <w:tc>
          <w:tcPr>
            <w:tcW w:w="9917" w:type="dxa"/>
          </w:tcPr>
          <w:p w14:paraId="503CD9D3" w14:textId="28DC271F" w:rsidR="00D701EA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CCN può essere gestito, ad esempio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>,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attraverso interventi migliorativi nella gestione logistica</w:t>
            </w:r>
          </w:p>
        </w:tc>
        <w:tc>
          <w:tcPr>
            <w:tcW w:w="460" w:type="dxa"/>
          </w:tcPr>
          <w:p w14:paraId="497D48EC" w14:textId="0B4FE2E7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6635455" w14:textId="765AB563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5B3DD1CB" w14:textId="77777777" w:rsidTr="007B3FCD">
        <w:trPr>
          <w:jc w:val="center"/>
        </w:trPr>
        <w:tc>
          <w:tcPr>
            <w:tcW w:w="9917" w:type="dxa"/>
          </w:tcPr>
          <w:p w14:paraId="66A5F2C8" w14:textId="2B692961" w:rsidR="00D701EA" w:rsidRPr="00EC49EC" w:rsidRDefault="008171B6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ROA (redditività dell’Attivo) è di regola minore o uguale al ROE</w:t>
            </w:r>
          </w:p>
        </w:tc>
        <w:tc>
          <w:tcPr>
            <w:tcW w:w="460" w:type="dxa"/>
          </w:tcPr>
          <w:p w14:paraId="075FE15D" w14:textId="12C0786F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455662F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135559B2" w14:textId="77777777" w:rsidTr="007B3FCD">
        <w:trPr>
          <w:jc w:val="center"/>
        </w:trPr>
        <w:tc>
          <w:tcPr>
            <w:tcW w:w="9917" w:type="dxa"/>
          </w:tcPr>
          <w:p w14:paraId="362A53C0" w14:textId="7AC72F17" w:rsidR="00D701EA" w:rsidRPr="00EC49EC" w:rsidRDefault="009D3DCF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ROS può essere superiore al ROA</w:t>
            </w:r>
          </w:p>
        </w:tc>
        <w:tc>
          <w:tcPr>
            <w:tcW w:w="460" w:type="dxa"/>
          </w:tcPr>
          <w:p w14:paraId="10DBBEE0" w14:textId="7FE72B12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9364DD9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054FD476" w14:textId="77777777" w:rsidTr="007B3FCD">
        <w:trPr>
          <w:jc w:val="center"/>
        </w:trPr>
        <w:tc>
          <w:tcPr>
            <w:tcW w:w="9917" w:type="dxa"/>
          </w:tcPr>
          <w:p w14:paraId="61DED1FF" w14:textId="445C0991" w:rsidR="00D701EA" w:rsidRPr="00EC49EC" w:rsidRDefault="009D3DCF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</w:t>
            </w:r>
            <w:r w:rsidR="009A4361">
              <w:rPr>
                <w:rFonts w:asciiTheme="minorHAnsi" w:hAnsiTheme="minorHAnsi" w:cstheme="minorHAnsi"/>
                <w:sz w:val="16"/>
                <w:szCs w:val="16"/>
              </w:rPr>
              <w:t xml:space="preserve">e variazioni della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leva finanziaria </w:t>
            </w:r>
            <w:r w:rsidR="009A4361">
              <w:rPr>
                <w:rFonts w:asciiTheme="minorHAnsi" w:hAnsiTheme="minorHAnsi" w:cstheme="minorHAnsi"/>
                <w:sz w:val="16"/>
                <w:szCs w:val="16"/>
              </w:rPr>
              <w:t xml:space="preserve">possono migliorare il ROE ma non è detto che producano sempre effetti positivi sul valore dell’impresa </w:t>
            </w:r>
          </w:p>
        </w:tc>
        <w:tc>
          <w:tcPr>
            <w:tcW w:w="460" w:type="dxa"/>
          </w:tcPr>
          <w:p w14:paraId="3C2B159A" w14:textId="626C5A48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BE89959" w14:textId="6023A30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701EA" w:rsidRPr="00EC49EC" w14:paraId="46B68256" w14:textId="77777777" w:rsidTr="007B3FCD">
        <w:trPr>
          <w:jc w:val="center"/>
        </w:trPr>
        <w:tc>
          <w:tcPr>
            <w:tcW w:w="9917" w:type="dxa"/>
          </w:tcPr>
          <w:p w14:paraId="5B1605C3" w14:textId="09821687" w:rsidR="00D701EA" w:rsidRPr="00EC49EC" w:rsidRDefault="009A436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Il profitto economico è una funzione crescente del Capitale Investito, indipendentemente dal WACC</w:t>
            </w:r>
          </w:p>
        </w:tc>
        <w:tc>
          <w:tcPr>
            <w:tcW w:w="460" w:type="dxa"/>
          </w:tcPr>
          <w:p w14:paraId="76E7E986" w14:textId="77777777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9F6A8CD" w14:textId="2D22A54D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701EA" w:rsidRPr="00EC49EC" w14:paraId="0C6BF644" w14:textId="77777777" w:rsidTr="007B3FCD">
        <w:trPr>
          <w:jc w:val="center"/>
        </w:trPr>
        <w:tc>
          <w:tcPr>
            <w:tcW w:w="9917" w:type="dxa"/>
          </w:tcPr>
          <w:p w14:paraId="2D59A49A" w14:textId="4DCE1F4A" w:rsidR="00D701EA" w:rsidRPr="00EC49EC" w:rsidRDefault="009A436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L’Enterprise Value è di regola maggiore o uguale all’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Equity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Value</w:t>
            </w:r>
            <w:r w:rsidR="00BC1AA7">
              <w:rPr>
                <w:rFonts w:asciiTheme="minorHAnsi" w:hAnsiTheme="minorHAnsi" w:cstheme="minorHAnsi"/>
                <w:sz w:val="16"/>
                <w:szCs w:val="16"/>
              </w:rPr>
              <w:t>, in presenza di debiti</w:t>
            </w:r>
          </w:p>
        </w:tc>
        <w:tc>
          <w:tcPr>
            <w:tcW w:w="460" w:type="dxa"/>
          </w:tcPr>
          <w:p w14:paraId="630C75F2" w14:textId="2D5A684B" w:rsidR="00D701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015B920" w14:textId="252C3E2F" w:rsidR="00D701EA" w:rsidRPr="00EC49EC" w:rsidRDefault="00D701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1530" w:rsidRPr="00EC49EC" w14:paraId="0F6E0EDE" w14:textId="77777777" w:rsidTr="007B3FCD">
        <w:trPr>
          <w:jc w:val="center"/>
        </w:trPr>
        <w:tc>
          <w:tcPr>
            <w:tcW w:w="9917" w:type="dxa"/>
          </w:tcPr>
          <w:p w14:paraId="2A299B20" w14:textId="7F0E7239" w:rsidR="00D01530" w:rsidRPr="00EC49EC" w:rsidRDefault="009A4361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Maggiore il valore assoluto del coefficiente </w:t>
            </w:r>
            <w:r w:rsidRPr="009A4361">
              <w:rPr>
                <w:rFonts w:ascii="Calibri" w:hAnsi="Calibri"/>
                <w:i/>
                <w:sz w:val="20"/>
                <w:szCs w:val="20"/>
              </w:rPr>
              <w:t>a</w:t>
            </w:r>
            <w:r w:rsidRPr="009A4361">
              <w:rPr>
                <w:rFonts w:asciiTheme="minorHAnsi" w:hAnsiTheme="minorHAnsi" w:cstheme="minorHAnsi"/>
                <w:i/>
                <w:sz w:val="11"/>
                <w:szCs w:val="11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nella formula delle economie di apprendimento, maggiori le economie di apprendimento</w:t>
            </w:r>
          </w:p>
        </w:tc>
        <w:tc>
          <w:tcPr>
            <w:tcW w:w="460" w:type="dxa"/>
          </w:tcPr>
          <w:p w14:paraId="1930EB2D" w14:textId="005FC936" w:rsidR="00D0153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4BADAF1" w14:textId="77777777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1530" w:rsidRPr="00EC49EC" w14:paraId="4536FBC8" w14:textId="77777777" w:rsidTr="007B3FCD">
        <w:trPr>
          <w:jc w:val="center"/>
        </w:trPr>
        <w:tc>
          <w:tcPr>
            <w:tcW w:w="9917" w:type="dxa"/>
          </w:tcPr>
          <w:p w14:paraId="64E71F53" w14:textId="57968ABD" w:rsidR="00D01530" w:rsidRPr="00EC49EC" w:rsidRDefault="0045648E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economie di scala si basano sullo sfruttamento di complementarità tra produzioni congiunte. Loro manifestazione tipica sono le sinergie di ricavo</w:t>
            </w:r>
          </w:p>
        </w:tc>
        <w:tc>
          <w:tcPr>
            <w:tcW w:w="460" w:type="dxa"/>
          </w:tcPr>
          <w:p w14:paraId="11A99C6E" w14:textId="08DD808C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2E2E34E" w14:textId="75B6C66D" w:rsidR="00D0153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D01530" w:rsidRPr="00EC49EC" w14:paraId="009E36FE" w14:textId="77777777" w:rsidTr="007B3FCD">
        <w:trPr>
          <w:jc w:val="center"/>
        </w:trPr>
        <w:tc>
          <w:tcPr>
            <w:tcW w:w="9917" w:type="dxa"/>
          </w:tcPr>
          <w:p w14:paraId="14AF25F0" w14:textId="7468D4F8" w:rsidR="00D01530" w:rsidRPr="00EC49EC" w:rsidRDefault="0045648E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La competitività delle imprese italiane può essere migliorata attraverso una maggiore innovazione e una superiore efficienza, che può derivare – tra l’altro - anche da una maggiore produttività del lavoro</w:t>
            </w:r>
          </w:p>
        </w:tc>
        <w:tc>
          <w:tcPr>
            <w:tcW w:w="460" w:type="dxa"/>
          </w:tcPr>
          <w:p w14:paraId="1E4F31D8" w14:textId="71D06906" w:rsidR="00D0153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F37F426" w14:textId="34992366" w:rsidR="00D01530" w:rsidRPr="00EC49EC" w:rsidRDefault="00D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C1E82" w:rsidRPr="00EC49EC" w14:paraId="270CCD9E" w14:textId="77777777" w:rsidTr="007B3FCD">
        <w:trPr>
          <w:jc w:val="center"/>
        </w:trPr>
        <w:tc>
          <w:tcPr>
            <w:tcW w:w="9917" w:type="dxa"/>
          </w:tcPr>
          <w:p w14:paraId="62EC321E" w14:textId="678A5716" w:rsidR="001C1E82" w:rsidRPr="00EC49EC" w:rsidRDefault="00215E5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distretti industriali italiani sono specializzati prevalentemente nei settori manifatturieri. Il che può spiegare la presenza di estese reti di subfornitura</w:t>
            </w:r>
          </w:p>
        </w:tc>
        <w:tc>
          <w:tcPr>
            <w:tcW w:w="460" w:type="dxa"/>
          </w:tcPr>
          <w:p w14:paraId="1A4BA415" w14:textId="635A0875" w:rsidR="001C1E82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2E284C8" w14:textId="71EFBDCB" w:rsidR="001C1E82" w:rsidRPr="00EC49EC" w:rsidRDefault="001C1E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C1E82" w:rsidRPr="00EC49EC" w14:paraId="5440A45E" w14:textId="77777777" w:rsidTr="007B3FCD">
        <w:trPr>
          <w:jc w:val="center"/>
        </w:trPr>
        <w:tc>
          <w:tcPr>
            <w:tcW w:w="9917" w:type="dxa"/>
          </w:tcPr>
          <w:p w14:paraId="32392EBF" w14:textId="6BECEEF6" w:rsidR="001C1E82" w:rsidRPr="00EC49EC" w:rsidRDefault="00215E5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differenze di ROIC tra imprese dello stesso settore possono essere spiegate dalle barriere all’entrata</w:t>
            </w:r>
          </w:p>
        </w:tc>
        <w:tc>
          <w:tcPr>
            <w:tcW w:w="460" w:type="dxa"/>
          </w:tcPr>
          <w:p w14:paraId="56C315E6" w14:textId="1551085D" w:rsidR="001C1E82" w:rsidRPr="00EC49EC" w:rsidRDefault="001C1E8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152C0175" w14:textId="10036552" w:rsidR="001C1E82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80C70" w:rsidRPr="00EC49EC" w14:paraId="399699E9" w14:textId="77777777" w:rsidTr="007B3FCD">
        <w:trPr>
          <w:jc w:val="center"/>
        </w:trPr>
        <w:tc>
          <w:tcPr>
            <w:tcW w:w="9917" w:type="dxa"/>
          </w:tcPr>
          <w:p w14:paraId="089D40F1" w14:textId="556B8A03" w:rsidR="00680C70" w:rsidRPr="00EC49EC" w:rsidRDefault="00215E5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Le differenze di ROIC tra imprese di settori diversi possono essere spiegate con il modello delle 5 forze</w:t>
            </w:r>
          </w:p>
        </w:tc>
        <w:tc>
          <w:tcPr>
            <w:tcW w:w="460" w:type="dxa"/>
          </w:tcPr>
          <w:p w14:paraId="13D10245" w14:textId="6D52B515" w:rsidR="00680C7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450C4B1" w14:textId="77777777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80C70" w:rsidRPr="00EC49EC" w14:paraId="60E5E765" w14:textId="77777777" w:rsidTr="007B3FCD">
        <w:trPr>
          <w:jc w:val="center"/>
        </w:trPr>
        <w:tc>
          <w:tcPr>
            <w:tcW w:w="9917" w:type="dxa"/>
          </w:tcPr>
          <w:p w14:paraId="0CB5B801" w14:textId="4A721A35" w:rsidR="00680C70" w:rsidRPr="00EC49EC" w:rsidRDefault="00215E5B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quasi totalità delle imprese italiane con più di 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>50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milioni di euro di fatturato sono quotate in Borsa</w:t>
            </w:r>
          </w:p>
        </w:tc>
        <w:tc>
          <w:tcPr>
            <w:tcW w:w="460" w:type="dxa"/>
          </w:tcPr>
          <w:p w14:paraId="3260A5B4" w14:textId="77777777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40C1ABBA" w14:textId="18F9CC9C" w:rsidR="00680C7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680C70" w:rsidRPr="00EC49EC" w14:paraId="47E57D34" w14:textId="77777777" w:rsidTr="007B3FCD">
        <w:trPr>
          <w:jc w:val="center"/>
        </w:trPr>
        <w:tc>
          <w:tcPr>
            <w:tcW w:w="9917" w:type="dxa"/>
          </w:tcPr>
          <w:p w14:paraId="001665AB" w14:textId="5F2C7A07" w:rsidR="00680C70" w:rsidRPr="00EC49EC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Nelle società quotate in Borsa, i rischi d’impresa vengono descritti nell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>a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relazion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sulla gestione. Tra i rischi esaminati vi sono tipicamente quelli relativi all’evoluzione dei mercati di riferimento per l’impresa</w:t>
            </w:r>
          </w:p>
        </w:tc>
        <w:tc>
          <w:tcPr>
            <w:tcW w:w="460" w:type="dxa"/>
          </w:tcPr>
          <w:p w14:paraId="76471155" w14:textId="422B3864" w:rsidR="00680C7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F70DD46" w14:textId="059B442D" w:rsidR="00680C70" w:rsidRPr="00EC49EC" w:rsidRDefault="00680C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C73F70" w:rsidRPr="00EC49EC" w14:paraId="0FB42ED9" w14:textId="77777777" w:rsidTr="007B3FCD">
        <w:trPr>
          <w:jc w:val="center"/>
        </w:trPr>
        <w:tc>
          <w:tcPr>
            <w:tcW w:w="9917" w:type="dxa"/>
          </w:tcPr>
          <w:p w14:paraId="08884055" w14:textId="7D11B2FC" w:rsidR="00C73F70" w:rsidRPr="00EC49EC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prodotti sostitutivi, nell’analisi delle 5 forze, includono beni e servizi di settori diversi da quello analizzato, ma comunque idonei a soddisfare gli stessi bisogni</w:t>
            </w:r>
            <w:r w:rsidR="007A0397">
              <w:rPr>
                <w:rFonts w:asciiTheme="minorHAnsi" w:hAnsiTheme="minorHAnsi" w:cstheme="minorHAnsi"/>
                <w:sz w:val="16"/>
                <w:szCs w:val="16"/>
              </w:rPr>
              <w:t xml:space="preserve"> dei clienti</w:t>
            </w:r>
          </w:p>
        </w:tc>
        <w:tc>
          <w:tcPr>
            <w:tcW w:w="460" w:type="dxa"/>
          </w:tcPr>
          <w:p w14:paraId="6E18A88F" w14:textId="0F1F2541" w:rsidR="00C73F7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4307722E" w14:textId="77777777" w:rsidR="00C73F70" w:rsidRPr="00EC49EC" w:rsidRDefault="00C73F7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210EA" w:rsidRPr="00EC49EC" w14:paraId="135FFE56" w14:textId="77777777" w:rsidTr="007B3FCD">
        <w:trPr>
          <w:jc w:val="center"/>
        </w:trPr>
        <w:tc>
          <w:tcPr>
            <w:tcW w:w="9917" w:type="dxa"/>
          </w:tcPr>
          <w:p w14:paraId="3B729188" w14:textId="6A6796DA" w:rsidR="007210EA" w:rsidRPr="00EC49EC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barriere all’entrata possono essere aumentate dagli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incumbent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attraverso l’adozione di prezzi inferiori ai costi medi unitari (prezzi di deterrenza all’entrata).</w:t>
            </w:r>
          </w:p>
        </w:tc>
        <w:tc>
          <w:tcPr>
            <w:tcW w:w="460" w:type="dxa"/>
          </w:tcPr>
          <w:p w14:paraId="3545D9DC" w14:textId="38E4E8AF" w:rsidR="007210EA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3C3A363" w14:textId="77777777" w:rsidR="007210EA" w:rsidRPr="00EC49EC" w:rsidRDefault="007210EA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D03522" w:rsidRPr="00EC49EC" w14:paraId="7E20E676" w14:textId="77777777" w:rsidTr="007B3FCD">
        <w:trPr>
          <w:jc w:val="center"/>
        </w:trPr>
        <w:tc>
          <w:tcPr>
            <w:tcW w:w="9917" w:type="dxa"/>
          </w:tcPr>
          <w:p w14:paraId="62AD7118" w14:textId="28980E5B" w:rsidR="00D03522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Nel modello delle 5 forze, la minaccia competitiva posta dagli acquirenti è di regola inversamente proporzionale a quella posta dai fornitori</w:t>
            </w:r>
          </w:p>
        </w:tc>
        <w:tc>
          <w:tcPr>
            <w:tcW w:w="460" w:type="dxa"/>
          </w:tcPr>
          <w:p w14:paraId="32D89F8E" w14:textId="191116D4" w:rsidR="00D03522" w:rsidRPr="00EC49EC" w:rsidRDefault="00D0352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3B6DCB66" w14:textId="40BF52A6" w:rsidR="00D03522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101530" w:rsidRPr="00EC49EC" w14:paraId="0E31200E" w14:textId="77777777" w:rsidTr="007B3FCD">
        <w:trPr>
          <w:jc w:val="center"/>
        </w:trPr>
        <w:tc>
          <w:tcPr>
            <w:tcW w:w="9917" w:type="dxa"/>
          </w:tcPr>
          <w:p w14:paraId="1A6FA21A" w14:textId="20DEB85A" w:rsidR="00101530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La struttura del settore può determinare il livello di redditività delle imprese che vi operano. Questo vale, ad esempio, per parametri strutturali come il grado di concentrazione e il grado di differenziazione competitiva. </w:t>
            </w:r>
          </w:p>
        </w:tc>
        <w:tc>
          <w:tcPr>
            <w:tcW w:w="460" w:type="dxa"/>
          </w:tcPr>
          <w:p w14:paraId="47AA80B5" w14:textId="06D27251" w:rsidR="00101530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7318819C" w14:textId="77777777" w:rsidR="00101530" w:rsidRPr="00EC49EC" w:rsidRDefault="00101530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0219" w:rsidRPr="00EC49EC" w14:paraId="6560C1FC" w14:textId="77777777" w:rsidTr="007B3FCD">
        <w:trPr>
          <w:jc w:val="center"/>
        </w:trPr>
        <w:tc>
          <w:tcPr>
            <w:tcW w:w="9917" w:type="dxa"/>
          </w:tcPr>
          <w:p w14:paraId="7AF2FD2D" w14:textId="7624D8B7" w:rsidR="002F0219" w:rsidRDefault="0027761C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I costi marginali possono anche essere più elevati dei costi medi unitari. In tal caso è opportuno valutare con cautela l’opportunità di aumentare la produzione, specialmente se i </w:t>
            </w:r>
            <w:r w:rsidR="00BC1AA7">
              <w:rPr>
                <w:rFonts w:asciiTheme="minorHAnsi" w:hAnsiTheme="minorHAnsi" w:cstheme="minorHAnsi"/>
                <w:sz w:val="16"/>
                <w:szCs w:val="16"/>
              </w:rPr>
              <w:t>ricavi marginali sono inferiori ai costi marginali</w:t>
            </w:r>
          </w:p>
        </w:tc>
        <w:tc>
          <w:tcPr>
            <w:tcW w:w="460" w:type="dxa"/>
          </w:tcPr>
          <w:p w14:paraId="56E7AB4C" w14:textId="52782FE4" w:rsidR="002F0219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10A35782" w14:textId="77777777" w:rsidR="002F0219" w:rsidRPr="00EC49EC" w:rsidRDefault="002F021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F0219" w:rsidRPr="00EC49EC" w14:paraId="2394B87E" w14:textId="77777777" w:rsidTr="007B3FCD">
        <w:trPr>
          <w:jc w:val="center"/>
        </w:trPr>
        <w:tc>
          <w:tcPr>
            <w:tcW w:w="9917" w:type="dxa"/>
          </w:tcPr>
          <w:p w14:paraId="732FED5F" w14:textId="75DADD89" w:rsidR="002F0219" w:rsidRDefault="002F6BD3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Tra gli indicatori non finanziari di risultato </w:t>
            </w:r>
            <w:r w:rsidR="006177F9">
              <w:rPr>
                <w:rFonts w:asciiTheme="minorHAnsi" w:hAnsiTheme="minorHAnsi" w:cstheme="minorHAnsi"/>
                <w:sz w:val="16"/>
                <w:szCs w:val="16"/>
              </w:rPr>
              <w:t>possono essere inclusi indicatori di sostenibilità, come l’energia consumata e l’impatto ambientale</w:t>
            </w:r>
          </w:p>
        </w:tc>
        <w:tc>
          <w:tcPr>
            <w:tcW w:w="460" w:type="dxa"/>
          </w:tcPr>
          <w:p w14:paraId="10B2586A" w14:textId="67D22CF2" w:rsidR="002F0219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4F69A93" w14:textId="77777777" w:rsidR="002F0219" w:rsidRPr="00EC49EC" w:rsidRDefault="002F0219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D2C55" w:rsidRPr="00EC49EC" w14:paraId="1DFFED17" w14:textId="77777777" w:rsidTr="007B3FCD">
        <w:trPr>
          <w:jc w:val="center"/>
        </w:trPr>
        <w:tc>
          <w:tcPr>
            <w:tcW w:w="9917" w:type="dxa"/>
          </w:tcPr>
          <w:p w14:paraId="18CA5625" w14:textId="0632ACDA" w:rsidR="00AD2C55" w:rsidRDefault="006177F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Le pratiche di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revenue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management sono diffuse in tutti i settori, specialmente in quello dell’intermediazione commerciale al dettaglio</w:t>
            </w:r>
          </w:p>
        </w:tc>
        <w:tc>
          <w:tcPr>
            <w:tcW w:w="460" w:type="dxa"/>
          </w:tcPr>
          <w:p w14:paraId="25579A97" w14:textId="77777777" w:rsidR="00AD2C55" w:rsidRPr="00EC49EC" w:rsidRDefault="00AD2C55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2CD261D5" w14:textId="05132811" w:rsidR="00AD2C55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  <w:tr w:rsidR="00E14D1C" w:rsidRPr="00EC49EC" w14:paraId="615A2B34" w14:textId="77777777" w:rsidTr="007B3FCD">
        <w:trPr>
          <w:jc w:val="center"/>
        </w:trPr>
        <w:tc>
          <w:tcPr>
            <w:tcW w:w="9917" w:type="dxa"/>
          </w:tcPr>
          <w:p w14:paraId="4199BA28" w14:textId="0838489A" w:rsidR="00E14D1C" w:rsidRDefault="006177F9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 modello di </w:t>
            </w:r>
            <w:proofErr w:type="spellStart"/>
            <w:r>
              <w:rPr>
                <w:rFonts w:asciiTheme="minorHAnsi" w:hAnsiTheme="minorHAnsi" w:cstheme="minorHAnsi"/>
                <w:sz w:val="16"/>
                <w:szCs w:val="16"/>
              </w:rPr>
              <w:t>governance</w:t>
            </w:r>
            <w:proofErr w:type="spellEnd"/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tedesco il consiglio di amministrazione è sostituito da due Board: quello di Gestione e quello di Sorveglianza</w:t>
            </w:r>
          </w:p>
        </w:tc>
        <w:tc>
          <w:tcPr>
            <w:tcW w:w="460" w:type="dxa"/>
          </w:tcPr>
          <w:p w14:paraId="41875AC9" w14:textId="4AF4DA15" w:rsidR="00E14D1C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00B2AB16" w14:textId="6B435C19" w:rsidR="00E14D1C" w:rsidRPr="00EC49EC" w:rsidRDefault="00E14D1C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A5628" w:rsidRPr="00EC49EC" w14:paraId="6F67E477" w14:textId="77777777" w:rsidTr="007B3FCD">
        <w:trPr>
          <w:jc w:val="center"/>
        </w:trPr>
        <w:tc>
          <w:tcPr>
            <w:tcW w:w="9917" w:type="dxa"/>
          </w:tcPr>
          <w:p w14:paraId="00309AF1" w14:textId="03B0B723" w:rsidR="007A5628" w:rsidRDefault="00FD4845" w:rsidP="000E3DE7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Spesso le grandi imprese – rispetto alle piccole - hanno più stakeholder, o stakeholder più “interessati” alle sorti dell’impresa</w:t>
            </w:r>
          </w:p>
        </w:tc>
        <w:tc>
          <w:tcPr>
            <w:tcW w:w="460" w:type="dxa"/>
          </w:tcPr>
          <w:p w14:paraId="63B4B6E3" w14:textId="2E5F4387" w:rsidR="007A5628" w:rsidRPr="00EC49EC" w:rsidRDefault="001F39B2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6D90A2B" w14:textId="77777777" w:rsidR="007A5628" w:rsidRPr="00EC49EC" w:rsidRDefault="007A5628" w:rsidP="00C57924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46FE5ACD" w14:textId="77777777" w:rsidR="003C3FAE" w:rsidRDefault="003C3FAE" w:rsidP="003C3FAE">
      <w:pPr>
        <w:rPr>
          <w:rFonts w:asciiTheme="minorHAnsi" w:hAnsiTheme="minorHAnsi" w:cstheme="minorHAnsi"/>
          <w:b/>
          <w:sz w:val="16"/>
          <w:szCs w:val="16"/>
        </w:rPr>
      </w:pPr>
    </w:p>
    <w:p w14:paraId="4D88854F" w14:textId="4801DFF2" w:rsidR="008F2D0F" w:rsidRPr="003C3FAE" w:rsidRDefault="00220C2F" w:rsidP="003C3FAE">
      <w:pPr>
        <w:rPr>
          <w:rFonts w:asciiTheme="minorHAnsi" w:hAnsiTheme="minorHAnsi" w:cstheme="minorHAnsi"/>
          <w:sz w:val="16"/>
          <w:szCs w:val="16"/>
        </w:rPr>
      </w:pPr>
      <w:r w:rsidRPr="003C3FAE">
        <w:rPr>
          <w:rFonts w:asciiTheme="minorHAnsi" w:hAnsiTheme="minorHAnsi" w:cstheme="minorHAnsi"/>
          <w:b/>
          <w:sz w:val="16"/>
          <w:szCs w:val="16"/>
        </w:rPr>
        <w:t>IL CASO LUXOTTICA</w:t>
      </w:r>
      <w:r w:rsidRPr="003C3FAE">
        <w:rPr>
          <w:rFonts w:asciiTheme="minorHAnsi" w:hAnsiTheme="minorHAnsi" w:cstheme="minorHAnsi"/>
          <w:sz w:val="16"/>
          <w:szCs w:val="16"/>
        </w:rPr>
        <w:t xml:space="preserve">. I seguenti valori sono desunti </w:t>
      </w:r>
      <w:r w:rsidR="000845C0" w:rsidRPr="003C3FAE">
        <w:rPr>
          <w:rFonts w:asciiTheme="minorHAnsi" w:hAnsiTheme="minorHAnsi" w:cstheme="minorHAnsi"/>
          <w:sz w:val="16"/>
          <w:szCs w:val="16"/>
        </w:rPr>
        <w:t>dalla relazione sulla gestione d</w:t>
      </w:r>
      <w:r w:rsidR="000B6270">
        <w:rPr>
          <w:rFonts w:asciiTheme="minorHAnsi" w:hAnsiTheme="minorHAnsi" w:cstheme="minorHAnsi"/>
          <w:sz w:val="16"/>
          <w:szCs w:val="16"/>
        </w:rPr>
        <w:t xml:space="preserve">el gruppo </w:t>
      </w:r>
      <w:r w:rsidRPr="003C3FAE">
        <w:rPr>
          <w:rFonts w:asciiTheme="minorHAnsi" w:hAnsiTheme="minorHAnsi" w:cstheme="minorHAnsi"/>
          <w:sz w:val="16"/>
          <w:szCs w:val="16"/>
        </w:rPr>
        <w:t>Luxottica.</w:t>
      </w:r>
    </w:p>
    <w:p w14:paraId="0AADD381" w14:textId="310C1391" w:rsidR="008F2D0F" w:rsidRPr="00EC49EC" w:rsidRDefault="001D5C4F" w:rsidP="00534F75">
      <w:pPr>
        <w:rPr>
          <w:rFonts w:asciiTheme="minorHAnsi" w:hAnsiTheme="minorHAnsi" w:cstheme="minorHAnsi"/>
          <w:sz w:val="16"/>
          <w:szCs w:val="16"/>
        </w:rPr>
      </w:pPr>
      <w:r w:rsidRPr="001D5C4F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37578209" wp14:editId="33245D60">
            <wp:extent cx="2997200" cy="1676400"/>
            <wp:effectExtent l="0" t="0" r="0" b="0"/>
            <wp:docPr id="5" name="Immagine 5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AAB">
        <w:rPr>
          <w:rFonts w:asciiTheme="minorHAnsi" w:hAnsiTheme="minorHAnsi" w:cstheme="minorHAnsi"/>
          <w:sz w:val="16"/>
          <w:szCs w:val="16"/>
        </w:rPr>
        <w:tab/>
      </w:r>
    </w:p>
    <w:p w14:paraId="19B2B7FA" w14:textId="77777777" w:rsidR="00E13AAB" w:rsidRDefault="00E13AAB" w:rsidP="00E13AAB">
      <w:pPr>
        <w:pStyle w:val="Paragrafoelenco"/>
        <w:ind w:left="0"/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775" w:type="dxa"/>
        <w:jc w:val="center"/>
        <w:tblLook w:val="04A0" w:firstRow="1" w:lastRow="0" w:firstColumn="1" w:lastColumn="0" w:noHBand="0" w:noVBand="1"/>
      </w:tblPr>
      <w:tblGrid>
        <w:gridCol w:w="9698"/>
        <w:gridCol w:w="527"/>
        <w:gridCol w:w="550"/>
      </w:tblGrid>
      <w:tr w:rsidR="00F92E8A" w:rsidRPr="00F70A62" w14:paraId="64402259" w14:textId="77777777" w:rsidTr="007B3FCD">
        <w:trPr>
          <w:jc w:val="center"/>
        </w:trPr>
        <w:tc>
          <w:tcPr>
            <w:tcW w:w="9890" w:type="dxa"/>
          </w:tcPr>
          <w:p w14:paraId="1463C32B" w14:textId="79E3FE6E" w:rsidR="00F92E8A" w:rsidRPr="000B6B54" w:rsidRDefault="000B6B54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</w:pPr>
            <w:r w:rsidRPr="000B6B54">
              <w:rPr>
                <w:rFonts w:asciiTheme="minorHAnsi" w:hAnsiTheme="minorHAnsi" w:cstheme="minorHAnsi"/>
                <w:b/>
                <w:bCs/>
                <w:sz w:val="16"/>
                <w:szCs w:val="15"/>
              </w:rPr>
              <w:t>NELLA TABELLA SOPRA:</w:t>
            </w:r>
          </w:p>
        </w:tc>
        <w:tc>
          <w:tcPr>
            <w:tcW w:w="460" w:type="dxa"/>
          </w:tcPr>
          <w:p w14:paraId="524303BD" w14:textId="13BFD6A6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Vero</w:t>
            </w:r>
          </w:p>
        </w:tc>
        <w:tc>
          <w:tcPr>
            <w:tcW w:w="425" w:type="dxa"/>
          </w:tcPr>
          <w:p w14:paraId="6FF34F8F" w14:textId="04245A21" w:rsidR="00F92E8A" w:rsidRPr="00F92E8A" w:rsidRDefault="00F92E8A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F92E8A">
              <w:rPr>
                <w:rFonts w:asciiTheme="minorHAnsi" w:hAnsiTheme="minorHAnsi" w:cstheme="minorHAnsi"/>
                <w:sz w:val="16"/>
                <w:szCs w:val="15"/>
              </w:rPr>
              <w:t>Falso</w:t>
            </w:r>
          </w:p>
        </w:tc>
      </w:tr>
      <w:tr w:rsidR="000845C0" w:rsidRPr="00F70A62" w14:paraId="2754486A" w14:textId="77777777" w:rsidTr="007B3FCD">
        <w:trPr>
          <w:jc w:val="center"/>
        </w:trPr>
        <w:tc>
          <w:tcPr>
            <w:tcW w:w="9890" w:type="dxa"/>
          </w:tcPr>
          <w:p w14:paraId="0D460C62" w14:textId="09B4A018" w:rsidR="000845C0" w:rsidRPr="005F01EB" w:rsidRDefault="000845C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I costi operativi comprendono i costi di acquisto di beni e servizi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dai fornitori</w:t>
            </w:r>
          </w:p>
        </w:tc>
        <w:tc>
          <w:tcPr>
            <w:tcW w:w="460" w:type="dxa"/>
          </w:tcPr>
          <w:p w14:paraId="5355CAD7" w14:textId="17AE5B1A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1D537FA3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0845C0" w:rsidRPr="00F70A62" w14:paraId="2B90C973" w14:textId="77777777" w:rsidTr="007B3FCD">
        <w:trPr>
          <w:jc w:val="center"/>
        </w:trPr>
        <w:tc>
          <w:tcPr>
            <w:tcW w:w="9890" w:type="dxa"/>
          </w:tcPr>
          <w:p w14:paraId="676AC6D3" w14:textId="28777E6A" w:rsidR="000845C0" w:rsidRPr="005F01EB" w:rsidRDefault="000845C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La voce “azionisti e finanziatori”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corrisponde alle remunerazioni al capitale di debito e all’</w:t>
            </w:r>
            <w:proofErr w:type="spellStart"/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equity</w:t>
            </w:r>
            <w:proofErr w:type="spellEnd"/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 (solo per la parte di dividendi)</w:t>
            </w:r>
          </w:p>
        </w:tc>
        <w:tc>
          <w:tcPr>
            <w:tcW w:w="460" w:type="dxa"/>
          </w:tcPr>
          <w:p w14:paraId="065A6EF6" w14:textId="315DB999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565F92D5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0845C0" w:rsidRPr="00F70A62" w14:paraId="398C3C14" w14:textId="77777777" w:rsidTr="007B3FCD">
        <w:trPr>
          <w:jc w:val="center"/>
        </w:trPr>
        <w:tc>
          <w:tcPr>
            <w:tcW w:w="9890" w:type="dxa"/>
          </w:tcPr>
          <w:p w14:paraId="6C8D12F9" w14:textId="1388C788" w:rsidR="000845C0" w:rsidRPr="005F01EB" w:rsidRDefault="000845C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Il “Valore economico generato” corrisponde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al valore aggiunto</w:t>
            </w: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 </w:t>
            </w:r>
          </w:p>
        </w:tc>
        <w:tc>
          <w:tcPr>
            <w:tcW w:w="460" w:type="dxa"/>
          </w:tcPr>
          <w:p w14:paraId="7B1DBE42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425" w:type="dxa"/>
          </w:tcPr>
          <w:p w14:paraId="3F18E815" w14:textId="73A5DD8C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</w:tr>
      <w:tr w:rsidR="000845C0" w:rsidRPr="00F70A62" w14:paraId="081C0F95" w14:textId="77777777" w:rsidTr="007B3FCD">
        <w:trPr>
          <w:jc w:val="center"/>
        </w:trPr>
        <w:tc>
          <w:tcPr>
            <w:tcW w:w="9890" w:type="dxa"/>
          </w:tcPr>
          <w:p w14:paraId="53E9ABEC" w14:textId="7975A493" w:rsidR="000845C0" w:rsidRPr="005F01EB" w:rsidRDefault="000845C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Il “Valore economico trattenuto”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include gli utili non distribuiti</w:t>
            </w:r>
          </w:p>
        </w:tc>
        <w:tc>
          <w:tcPr>
            <w:tcW w:w="460" w:type="dxa"/>
          </w:tcPr>
          <w:p w14:paraId="467562B6" w14:textId="3D314230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2058C220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0845C0" w:rsidRPr="00F70A62" w14:paraId="6520859F" w14:textId="77777777" w:rsidTr="007B3FCD">
        <w:trPr>
          <w:jc w:val="center"/>
        </w:trPr>
        <w:tc>
          <w:tcPr>
            <w:tcW w:w="9890" w:type="dxa"/>
          </w:tcPr>
          <w:p w14:paraId="378E8552" w14:textId="7443B0FC" w:rsidR="000845C0" w:rsidRPr="005F01EB" w:rsidRDefault="000845C0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La voce “Pubblica amministrazione”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include</w:t>
            </w:r>
            <w:r w:rsidR="007A0397">
              <w:rPr>
                <w:rFonts w:asciiTheme="minorHAnsi" w:hAnsiTheme="minorHAnsi" w:cstheme="minorHAnsi"/>
                <w:sz w:val="16"/>
                <w:szCs w:val="15"/>
              </w:rPr>
              <w:t xml:space="preserve"> </w:t>
            </w: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le imposte sul reddito 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>pagat</w:t>
            </w:r>
            <w:r w:rsidR="007A0397">
              <w:rPr>
                <w:rFonts w:asciiTheme="minorHAnsi" w:hAnsiTheme="minorHAnsi" w:cstheme="minorHAnsi"/>
                <w:sz w:val="16"/>
                <w:szCs w:val="15"/>
              </w:rPr>
              <w:t>e</w:t>
            </w:r>
            <w:r w:rsidR="00186AAA"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 dall’impresa</w:t>
            </w:r>
          </w:p>
        </w:tc>
        <w:tc>
          <w:tcPr>
            <w:tcW w:w="460" w:type="dxa"/>
          </w:tcPr>
          <w:p w14:paraId="719D6B7C" w14:textId="25C50EDF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3F3165F0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0845C0" w:rsidRPr="00F70A62" w14:paraId="6EB7A91F" w14:textId="77777777" w:rsidTr="007B3FCD">
        <w:trPr>
          <w:jc w:val="center"/>
        </w:trPr>
        <w:tc>
          <w:tcPr>
            <w:tcW w:w="9890" w:type="dxa"/>
          </w:tcPr>
          <w:p w14:paraId="2BB31202" w14:textId="7E9ADB8A" w:rsidR="000845C0" w:rsidRPr="005F01EB" w:rsidRDefault="00186AAA" w:rsidP="000D43E8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5"/>
              </w:rPr>
            </w:pP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Il </w:t>
            </w:r>
            <w:r w:rsidR="000845C0" w:rsidRPr="005F01EB">
              <w:rPr>
                <w:rFonts w:asciiTheme="minorHAnsi" w:hAnsiTheme="minorHAnsi" w:cstheme="minorHAnsi"/>
                <w:sz w:val="16"/>
                <w:szCs w:val="15"/>
              </w:rPr>
              <w:t xml:space="preserve">“Valore economico distribuito” potrebbe essere anche superiore al “Valore economico </w:t>
            </w: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>generato</w:t>
            </w:r>
            <w:r w:rsidR="000845C0" w:rsidRPr="005F01EB">
              <w:rPr>
                <w:rFonts w:asciiTheme="minorHAnsi" w:hAnsiTheme="minorHAnsi" w:cstheme="minorHAnsi"/>
                <w:sz w:val="16"/>
                <w:szCs w:val="15"/>
              </w:rPr>
              <w:t>”</w:t>
            </w:r>
            <w:r w:rsidRPr="005F01EB">
              <w:rPr>
                <w:rFonts w:asciiTheme="minorHAnsi" w:hAnsiTheme="minorHAnsi" w:cstheme="minorHAnsi"/>
                <w:sz w:val="16"/>
                <w:szCs w:val="15"/>
              </w:rPr>
              <w:t>, qualora l’impresa distribuisse una parte delle riserve di capitale nella forma di dividendi</w:t>
            </w:r>
          </w:p>
        </w:tc>
        <w:tc>
          <w:tcPr>
            <w:tcW w:w="460" w:type="dxa"/>
          </w:tcPr>
          <w:p w14:paraId="0FC6AA20" w14:textId="13D835EA" w:rsidR="000845C0" w:rsidRPr="00F70A62" w:rsidRDefault="001F39B2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  <w:r>
              <w:rPr>
                <w:rFonts w:asciiTheme="minorHAnsi" w:hAnsiTheme="minorHAnsi" w:cstheme="minorHAnsi"/>
                <w:sz w:val="18"/>
                <w:szCs w:val="16"/>
              </w:rPr>
              <w:t>X</w:t>
            </w:r>
          </w:p>
        </w:tc>
        <w:tc>
          <w:tcPr>
            <w:tcW w:w="425" w:type="dxa"/>
          </w:tcPr>
          <w:p w14:paraId="53794778" w14:textId="77777777" w:rsidR="000845C0" w:rsidRPr="00F70A62" w:rsidRDefault="000845C0" w:rsidP="000D43E8">
            <w:pPr>
              <w:pStyle w:val="Paragrafoelenco"/>
              <w:ind w:left="0"/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7F9FA6BA" w14:textId="77777777" w:rsidR="003C3FAE" w:rsidRDefault="003C3FAE" w:rsidP="003C3FAE">
      <w:pPr>
        <w:rPr>
          <w:rFonts w:asciiTheme="minorHAnsi" w:hAnsiTheme="minorHAnsi" w:cstheme="minorHAnsi"/>
          <w:b/>
          <w:sz w:val="16"/>
          <w:szCs w:val="16"/>
        </w:rPr>
      </w:pPr>
    </w:p>
    <w:p w14:paraId="2708FDFA" w14:textId="30C98E13" w:rsidR="003C3FAE" w:rsidRPr="003C3FAE" w:rsidRDefault="003C3FAE" w:rsidP="003C3FAE">
      <w:pPr>
        <w:rPr>
          <w:rFonts w:asciiTheme="minorHAnsi" w:hAnsiTheme="minorHAnsi" w:cstheme="minorHAnsi"/>
          <w:sz w:val="16"/>
          <w:szCs w:val="16"/>
        </w:rPr>
      </w:pPr>
      <w:r w:rsidRPr="003C3FAE">
        <w:rPr>
          <w:rFonts w:asciiTheme="minorHAnsi" w:hAnsiTheme="minorHAnsi" w:cstheme="minorHAnsi"/>
          <w:sz w:val="16"/>
          <w:szCs w:val="16"/>
        </w:rPr>
        <w:t>I seguenti valori sono desunti dall</w:t>
      </w:r>
      <w:r>
        <w:rPr>
          <w:rFonts w:asciiTheme="minorHAnsi" w:hAnsiTheme="minorHAnsi" w:cstheme="minorHAnsi"/>
          <w:sz w:val="16"/>
          <w:szCs w:val="16"/>
        </w:rPr>
        <w:t xml:space="preserve">e note informative al conto economico </w:t>
      </w:r>
      <w:r w:rsidR="000B6270">
        <w:rPr>
          <w:rFonts w:asciiTheme="minorHAnsi" w:hAnsiTheme="minorHAnsi" w:cstheme="minorHAnsi"/>
          <w:sz w:val="16"/>
          <w:szCs w:val="16"/>
        </w:rPr>
        <w:t xml:space="preserve">2019 di Luxottica (capogruppo) </w:t>
      </w:r>
      <w:r>
        <w:rPr>
          <w:rFonts w:asciiTheme="minorHAnsi" w:hAnsiTheme="minorHAnsi" w:cstheme="minorHAnsi"/>
          <w:sz w:val="16"/>
          <w:szCs w:val="16"/>
        </w:rPr>
        <w:t>e sono relative ai “Costi per servizi”</w:t>
      </w:r>
      <w:r w:rsidRPr="003C3FAE">
        <w:rPr>
          <w:rFonts w:asciiTheme="minorHAnsi" w:hAnsiTheme="minorHAnsi" w:cstheme="minorHAnsi"/>
          <w:sz w:val="16"/>
          <w:szCs w:val="16"/>
        </w:rPr>
        <w:t>.</w:t>
      </w:r>
    </w:p>
    <w:p w14:paraId="405D48A6" w14:textId="2C1E0029" w:rsidR="00220C2F" w:rsidRPr="00EC49EC" w:rsidRDefault="001D5C4F" w:rsidP="00534F75">
      <w:pPr>
        <w:rPr>
          <w:rFonts w:asciiTheme="minorHAnsi" w:hAnsiTheme="minorHAnsi" w:cstheme="minorHAnsi"/>
          <w:sz w:val="16"/>
          <w:szCs w:val="16"/>
        </w:rPr>
      </w:pPr>
      <w:r w:rsidRPr="001D5C4F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1C2DF495" wp14:editId="2A0CBE43">
            <wp:extent cx="2971800" cy="2387600"/>
            <wp:effectExtent l="0" t="0" r="0" b="0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866" w14:textId="1F507426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Grigliatabella"/>
        <w:tblW w:w="10802" w:type="dxa"/>
        <w:jc w:val="center"/>
        <w:tblLook w:val="04A0" w:firstRow="1" w:lastRow="0" w:firstColumn="1" w:lastColumn="0" w:noHBand="0" w:noVBand="1"/>
      </w:tblPr>
      <w:tblGrid>
        <w:gridCol w:w="9725"/>
        <w:gridCol w:w="527"/>
        <w:gridCol w:w="550"/>
      </w:tblGrid>
      <w:tr w:rsidR="000C3864" w:rsidRPr="00EC49EC" w14:paraId="793DFDE2" w14:textId="77777777" w:rsidTr="000B4849">
        <w:trPr>
          <w:jc w:val="center"/>
        </w:trPr>
        <w:tc>
          <w:tcPr>
            <w:tcW w:w="9917" w:type="dxa"/>
          </w:tcPr>
          <w:p w14:paraId="291A59B5" w14:textId="77777777" w:rsidR="000C3864" w:rsidRPr="000B6B54" w:rsidRDefault="000C3864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0B6B54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NELLA TABELLA SOPRA</w:t>
            </w:r>
            <w: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460" w:type="dxa"/>
          </w:tcPr>
          <w:p w14:paraId="72F02F58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V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ero</w:t>
            </w:r>
          </w:p>
        </w:tc>
        <w:tc>
          <w:tcPr>
            <w:tcW w:w="425" w:type="dxa"/>
          </w:tcPr>
          <w:p w14:paraId="035544D3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  <w:proofErr w:type="spellStart"/>
            <w:r w:rsidRPr="00EC49E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F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also</w:t>
            </w:r>
            <w:proofErr w:type="spellEnd"/>
          </w:p>
        </w:tc>
      </w:tr>
      <w:tr w:rsidR="000C3864" w:rsidRPr="00EC49EC" w14:paraId="50A97260" w14:textId="77777777" w:rsidTr="000B4849">
        <w:trPr>
          <w:jc w:val="center"/>
        </w:trPr>
        <w:tc>
          <w:tcPr>
            <w:tcW w:w="9917" w:type="dxa"/>
            <w:vAlign w:val="center"/>
          </w:tcPr>
          <w:p w14:paraId="5A41BFE3" w14:textId="77777777" w:rsidR="000C3864" w:rsidRPr="00EC49EC" w:rsidRDefault="000C3864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 costi di marketing includono 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costi di pubblicità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, presumibilmente</w:t>
            </w:r>
          </w:p>
        </w:tc>
        <w:tc>
          <w:tcPr>
            <w:tcW w:w="460" w:type="dxa"/>
          </w:tcPr>
          <w:p w14:paraId="276B50E4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5B0B041B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C3864" w:rsidRPr="00EC49EC" w14:paraId="40BDE924" w14:textId="77777777" w:rsidTr="000B4849">
        <w:trPr>
          <w:jc w:val="center"/>
        </w:trPr>
        <w:tc>
          <w:tcPr>
            <w:tcW w:w="9917" w:type="dxa"/>
          </w:tcPr>
          <w:p w14:paraId="0F959C4D" w14:textId="77777777" w:rsidR="000C3864" w:rsidRPr="00EC49EC" w:rsidRDefault="000C3864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Nelle imprese come Luxottica, i costi per l’acquisto 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di servizi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sono inferiori ai costi per l’acquisto di beni, ma in altre imprese possono anche essere superiori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  <w:tc>
          <w:tcPr>
            <w:tcW w:w="460" w:type="dxa"/>
          </w:tcPr>
          <w:p w14:paraId="7999FE20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23B70EC2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C3864" w:rsidRPr="00EC49EC" w14:paraId="45E81DD8" w14:textId="77777777" w:rsidTr="000B4849">
        <w:trPr>
          <w:jc w:val="center"/>
        </w:trPr>
        <w:tc>
          <w:tcPr>
            <w:tcW w:w="9917" w:type="dxa"/>
          </w:tcPr>
          <w:p w14:paraId="50A5DA8D" w14:textId="77777777" w:rsidR="000C3864" w:rsidRPr="00EC49EC" w:rsidRDefault="000C3864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Sulla base delle voci sopra riportate, i</w:t>
            </w:r>
            <w:r w:rsidRPr="00EC49EC">
              <w:rPr>
                <w:rFonts w:asciiTheme="minorHAnsi" w:hAnsiTheme="minorHAnsi" w:cstheme="minorHAnsi"/>
                <w:sz w:val="16"/>
                <w:szCs w:val="16"/>
              </w:rPr>
              <w:t xml:space="preserve"> “costi per servizi”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appaiono avere prevalente natura fissa, ad eccezione dei costi di trasporto e logistica</w:t>
            </w:r>
          </w:p>
        </w:tc>
        <w:tc>
          <w:tcPr>
            <w:tcW w:w="460" w:type="dxa"/>
          </w:tcPr>
          <w:p w14:paraId="05BE3036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  <w:tc>
          <w:tcPr>
            <w:tcW w:w="425" w:type="dxa"/>
          </w:tcPr>
          <w:p w14:paraId="6C4C4B0D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C3864" w:rsidRPr="00EC49EC" w14:paraId="1E0C053E" w14:textId="77777777" w:rsidTr="000B4849">
        <w:trPr>
          <w:jc w:val="center"/>
        </w:trPr>
        <w:tc>
          <w:tcPr>
            <w:tcW w:w="9917" w:type="dxa"/>
          </w:tcPr>
          <w:p w14:paraId="74CDC580" w14:textId="77777777" w:rsidR="000C3864" w:rsidRPr="00EC49EC" w:rsidRDefault="000C3864" w:rsidP="000B4849">
            <w:pPr>
              <w:pStyle w:val="Paragrafoelenco"/>
              <w:tabs>
                <w:tab w:val="left" w:pos="459"/>
              </w:tabs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Una buona parte dei costi di servizi ha natura di costo affondato</w:t>
            </w:r>
          </w:p>
        </w:tc>
        <w:tc>
          <w:tcPr>
            <w:tcW w:w="460" w:type="dxa"/>
          </w:tcPr>
          <w:p w14:paraId="151EBE22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</w:tcPr>
          <w:p w14:paraId="5770D0ED" w14:textId="77777777" w:rsidR="000C3864" w:rsidRPr="00EC49EC" w:rsidRDefault="000C3864" w:rsidP="000B4849">
            <w:pPr>
              <w:pStyle w:val="Paragrafoelenco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X</w:t>
            </w:r>
          </w:p>
        </w:tc>
      </w:tr>
    </w:tbl>
    <w:p w14:paraId="6C848947" w14:textId="2E98FC8A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lastRenderedPageBreak/>
        <w:t>SVOLGIMENTO ESERCIZI NUMERICI</w:t>
      </w:r>
    </w:p>
    <w:p w14:paraId="3E1CF819" w14:textId="7866B93C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17DD310E" w14:textId="771C0C26" w:rsidR="000C3864" w:rsidRDefault="000C3864" w:rsidP="000C3864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DA </w:t>
      </w:r>
      <w:r w:rsidR="00DB2028">
        <w:rPr>
          <w:rFonts w:asciiTheme="minorHAnsi" w:hAnsiTheme="minorHAnsi" w:cstheme="minorHAnsi"/>
          <w:sz w:val="16"/>
          <w:szCs w:val="16"/>
        </w:rPr>
        <w:t>9% = X*6 + (1-</w:t>
      </w:r>
      <w:proofErr w:type="gramStart"/>
      <w:r w:rsidR="00DB2028">
        <w:rPr>
          <w:rFonts w:asciiTheme="minorHAnsi" w:hAnsiTheme="minorHAnsi" w:cstheme="minorHAnsi"/>
          <w:sz w:val="16"/>
          <w:szCs w:val="16"/>
        </w:rPr>
        <w:t>X)*</w:t>
      </w:r>
      <w:proofErr w:type="gramEnd"/>
      <w:r w:rsidR="00DB2028">
        <w:rPr>
          <w:rFonts w:asciiTheme="minorHAnsi" w:hAnsiTheme="minorHAnsi" w:cstheme="minorHAnsi"/>
          <w:sz w:val="16"/>
          <w:szCs w:val="16"/>
        </w:rPr>
        <w:t>18 SI RICAVANO I PESI DI DEBITO ED EQUITY, RISPETTIVAMENTE ¾ E 1/4</w:t>
      </w:r>
    </w:p>
    <w:p w14:paraId="0A0AFB5A" w14:textId="31EDF04E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IL CAPITALE INVESTITO è FINANZIATO PER 9 MILIONI CON DEBITI E PER 3 MILIONI CON EQUITY.</w:t>
      </w:r>
    </w:p>
    <w:p w14:paraId="1028ADAA" w14:textId="323E3F2C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L’ANNO DOPO SI PASSA A 14 MILIONI DI CAPITALE INVESTITO CON 10 MILIONI DI DEBITI E 4 MILIONI DI EQUITY (RAPPORTO ATTIVO/EQUITY = 7/2). </w:t>
      </w:r>
    </w:p>
    <w:p w14:paraId="647B36EA" w14:textId="3C1A4DAD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SI RICALCOLA IL WACC CON I NUOVI PESI, PER OTTENERE WACC= 66/7%</w:t>
      </w:r>
    </w:p>
    <w:p w14:paraId="79EC53AB" w14:textId="74FAE4FC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PER CUI LA DIFFERENZA ROIC-WACC è 4/7% E IL PROFITTO ECONOMICO </w:t>
      </w:r>
      <w:proofErr w:type="spellStart"/>
      <w:r>
        <w:rPr>
          <w:rFonts w:asciiTheme="minorHAnsi" w:hAnsiTheme="minorHAnsi" w:cstheme="minorHAnsi"/>
          <w:sz w:val="16"/>
          <w:szCs w:val="16"/>
        </w:rPr>
        <w:t>SARà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4/7%*14 MILIONI = 80.000</w:t>
      </w:r>
    </w:p>
    <w:p w14:paraId="582F9799" w14:textId="34D7B2C2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51F17EB6" w14:textId="1C50EC1C" w:rsidR="00DB2028" w:rsidRDefault="00DB2028" w:rsidP="00DB2028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LA PERCENTUALE DI RICARICO (X) è 1000% ALLORA IL MARGINE è 10/11 DEL FATTURATO (X/1+X = 10/11)</w:t>
      </w:r>
    </w:p>
    <w:p w14:paraId="677EA89D" w14:textId="517DA133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IL MARGINE DI SICUREZZA è 25% ALLORA LA LEVA OPERATIVA è 4 (RECIPROCO).</w:t>
      </w:r>
    </w:p>
    <w:p w14:paraId="5B9E01F5" w14:textId="7E1A28BF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QUINDI:</w:t>
      </w:r>
    </w:p>
    <w:p w14:paraId="4C9A2B69" w14:textId="1998D90E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CV = 1</w:t>
      </w:r>
    </w:p>
    <w:p w14:paraId="17CB9DD1" w14:textId="56BE4100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MC = 10</w:t>
      </w:r>
    </w:p>
    <w:p w14:paraId="5BD0885F" w14:textId="18E558CC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RV = 11</w:t>
      </w:r>
    </w:p>
    <w:p w14:paraId="318C5AE2" w14:textId="723A52F7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 = 2.5</w:t>
      </w:r>
    </w:p>
    <w:p w14:paraId="428DBAAD" w14:textId="33723DF2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 = 7.5</w:t>
      </w:r>
    </w:p>
    <w:p w14:paraId="40BF294E" w14:textId="4B254488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CT = 8.5</w:t>
      </w:r>
    </w:p>
    <w:p w14:paraId="6FC2F5D6" w14:textId="34955A78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proofErr w:type="spellStart"/>
      <w:r>
        <w:rPr>
          <w:rFonts w:asciiTheme="minorHAnsi" w:hAnsiTheme="minorHAnsi" w:cstheme="minorHAnsi"/>
          <w:sz w:val="16"/>
          <w:szCs w:val="16"/>
        </w:rPr>
        <w:t>ELASTICITà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DEI COSTI = 1/8.5 = 2/17</w:t>
      </w:r>
    </w:p>
    <w:p w14:paraId="60BC89AE" w14:textId="3BFABB1E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1CE93EC0" w14:textId="38D472BD" w:rsidR="00DB2028" w:rsidRDefault="00DB2028" w:rsidP="00DB2028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DEBITI VS FORNITORI /1,22 = 3 MILIONI (CON IVA SCORPORATA)</w:t>
      </w:r>
    </w:p>
    <w:p w14:paraId="49429CCB" w14:textId="5A38D33E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3/18 = 1/6 = DURATA DEI DEBITI = 60 GIORNI</w:t>
      </w:r>
    </w:p>
    <w:p w14:paraId="510CD88D" w14:textId="77623C7A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20 + X – 60 = 10</w:t>
      </w:r>
    </w:p>
    <w:p w14:paraId="0EB71307" w14:textId="18F23C06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DA CUI X=DURATA DEI CREDITI = 50 GIORNI</w:t>
      </w:r>
    </w:p>
    <w:p w14:paraId="1FF57611" w14:textId="6B7E91AE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LA ROTAZIONE DELLE SCORTE è 18 E QUELLA DEI DEBITI è 6, PERTANTO LA ROTAZIONE DELLE SCORTE è MAGGIORE</w:t>
      </w:r>
    </w:p>
    <w:p w14:paraId="71A7A5A9" w14:textId="478B4280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4482F6F3" w14:textId="76CBF515" w:rsidR="00DB2028" w:rsidRDefault="00DB2028" w:rsidP="00DB2028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DEBITI SONO 5 VOLTE EQUITY ALLORA ATTIVO/EQUITY = 6</w:t>
      </w:r>
    </w:p>
    <w:p w14:paraId="09862DBA" w14:textId="20A6BBF6" w:rsidR="00DB2028" w:rsidRDefault="00DB2028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CAPITALE INVESTITO = 20 MILIONI E ROTAZIONE ATTIVO = 2 ALLORA FATTURATO = 40 MILIONI</w:t>
      </w:r>
    </w:p>
    <w:p w14:paraId="378595CC" w14:textId="509A4CAF" w:rsidR="00DB2028" w:rsidRDefault="006617CE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SE FATTURATO = 40 MILIONI E PROFITTO = 1 MILIONE ALLORA ROS = 2,5%</w:t>
      </w:r>
    </w:p>
    <w:p w14:paraId="4A7CBB54" w14:textId="40175597" w:rsidR="006617CE" w:rsidRDefault="006617CE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ROE = 2,5 * 2 * 6 =30%</w:t>
      </w:r>
    </w:p>
    <w:p w14:paraId="5A3B4D4F" w14:textId="2A3AB661" w:rsidR="006617CE" w:rsidRDefault="006617CE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PER RADDOPPIARLO AGENDO SUL FATTURATO </w:t>
      </w:r>
      <w:proofErr w:type="spellStart"/>
      <w:r>
        <w:rPr>
          <w:rFonts w:asciiTheme="minorHAnsi" w:hAnsiTheme="minorHAnsi" w:cstheme="minorHAnsi"/>
          <w:sz w:val="16"/>
          <w:szCs w:val="16"/>
        </w:rPr>
        <w:t>BISOGNERà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RADDOPPIARE IL FATTURATO, QUINDI IL FATTURATO </w:t>
      </w:r>
      <w:proofErr w:type="spellStart"/>
      <w:r>
        <w:rPr>
          <w:rFonts w:asciiTheme="minorHAnsi" w:hAnsiTheme="minorHAnsi" w:cstheme="minorHAnsi"/>
          <w:sz w:val="16"/>
          <w:szCs w:val="16"/>
        </w:rPr>
        <w:t>DOVRà</w:t>
      </w:r>
      <w:proofErr w:type="spellEnd"/>
      <w:r>
        <w:rPr>
          <w:rFonts w:asciiTheme="minorHAnsi" w:hAnsiTheme="minorHAnsi" w:cstheme="minorHAnsi"/>
          <w:sz w:val="16"/>
          <w:szCs w:val="16"/>
        </w:rPr>
        <w:t xml:space="preserve"> CRESCERE DEL 100%</w:t>
      </w:r>
    </w:p>
    <w:p w14:paraId="29737158" w14:textId="4CD00918" w:rsidR="006617CE" w:rsidRDefault="006617CE" w:rsidP="00DB2028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63F9CC89" w14:textId="71CC5E1D" w:rsidR="006617CE" w:rsidRDefault="006617CE" w:rsidP="006617CE">
      <w:pPr>
        <w:pStyle w:val="Paragrafoelenco"/>
        <w:numPr>
          <w:ilvl w:val="0"/>
          <w:numId w:val="6"/>
        </w:num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PONIAMO COSTI VARIABILI = 100</w:t>
      </w:r>
    </w:p>
    <w:p w14:paraId="484361F7" w14:textId="05D8EBD9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 = 80</w:t>
      </w:r>
    </w:p>
    <w:p w14:paraId="6DDC9E33" w14:textId="7276C15C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MARGINE CONTRIB. = 120</w:t>
      </w:r>
    </w:p>
    <w:p w14:paraId="50E4E294" w14:textId="6E869DCC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FATTURATO = 220</w:t>
      </w:r>
    </w:p>
    <w:p w14:paraId="3D608728" w14:textId="63C292B2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 = 40</w:t>
      </w:r>
    </w:p>
    <w:p w14:paraId="3A829333" w14:textId="7C206D16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LEVA OPERATIVA = 3</w:t>
      </w:r>
    </w:p>
    <w:p w14:paraId="0305CDD2" w14:textId="2D1D4199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PER CUI SE IL FATTURATO CRESCE DEL 50% IL PROFITTO CRESCE DEL 50*3 = 150%</w:t>
      </w:r>
    </w:p>
    <w:p w14:paraId="673FE76E" w14:textId="566A4C98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</w:p>
    <w:p w14:paraId="47093E08" w14:textId="4E14D0C7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IN T1 AVREMO</w:t>
      </w:r>
    </w:p>
    <w:p w14:paraId="0F9A2F53" w14:textId="1830E8A6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FATTURATO = 330</w:t>
      </w:r>
    </w:p>
    <w:p w14:paraId="2759DAA9" w14:textId="182F186C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CV = 150</w:t>
      </w:r>
    </w:p>
    <w:p w14:paraId="61C8B8AE" w14:textId="38689495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MC = 180</w:t>
      </w:r>
    </w:p>
    <w:p w14:paraId="1F18D8CB" w14:textId="362E9553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CF = 80</w:t>
      </w:r>
    </w:p>
    <w:p w14:paraId="34235B08" w14:textId="0E97E012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PROFITTO = 100</w:t>
      </w:r>
    </w:p>
    <w:p w14:paraId="737BBD8C" w14:textId="1B3A5F49" w:rsidR="006617CE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LEVA OPERATIVA = 1,8</w:t>
      </w:r>
    </w:p>
    <w:p w14:paraId="29664378" w14:textId="4B2A0D9D" w:rsidR="006617CE" w:rsidRPr="00DB2028" w:rsidRDefault="006617CE" w:rsidP="006617CE">
      <w:pPr>
        <w:pStyle w:val="Paragrafoelenc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MARGINE DI SICUREZZA = 1/1,8 = 5/9</w:t>
      </w:r>
      <w:bookmarkStart w:id="0" w:name="_GoBack"/>
      <w:bookmarkEnd w:id="0"/>
    </w:p>
    <w:p w14:paraId="37F67E8E" w14:textId="0661E9C0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75512E42" w14:textId="46688D11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33F89F04" w14:textId="63F92E20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696B5B03" w14:textId="568F76AD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58C8BCF6" w14:textId="28061BB6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0D61CFA4" w14:textId="7C6774BB" w:rsidR="000C3864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p w14:paraId="27F625F1" w14:textId="77777777" w:rsidR="000C3864" w:rsidRPr="00EC49EC" w:rsidRDefault="000C3864" w:rsidP="002F0219">
      <w:pPr>
        <w:rPr>
          <w:rFonts w:asciiTheme="minorHAnsi" w:hAnsiTheme="minorHAnsi" w:cstheme="minorHAnsi"/>
          <w:sz w:val="16"/>
          <w:szCs w:val="16"/>
        </w:rPr>
      </w:pPr>
    </w:p>
    <w:sectPr w:rsidR="000C3864" w:rsidRPr="00EC49EC" w:rsidSect="002F0219">
      <w:footerReference w:type="even" r:id="rId10"/>
      <w:footerReference w:type="default" r:id="rId11"/>
      <w:headerReference w:type="first" r:id="rId12"/>
      <w:pgSz w:w="11905" w:h="16837"/>
      <w:pgMar w:top="720" w:right="720" w:bottom="720" w:left="720" w:header="709" w:footer="30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204A0" w14:textId="77777777" w:rsidR="00CB5671" w:rsidRDefault="00CB5671">
      <w:r>
        <w:separator/>
      </w:r>
    </w:p>
  </w:endnote>
  <w:endnote w:type="continuationSeparator" w:id="0">
    <w:p w14:paraId="2E53E7D7" w14:textId="77777777" w:rsidR="00CB5671" w:rsidRDefault="00CB5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96658004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7EAA278" w14:textId="4D7EE50F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88881DD" w14:textId="77777777" w:rsidR="008743B0" w:rsidRDefault="008743B0" w:rsidP="008743B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3212652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221EFAE" w14:textId="7F4FD351" w:rsidR="008743B0" w:rsidRDefault="008743B0" w:rsidP="009B17E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BC80F6B" w14:textId="77777777" w:rsidR="00856DA1" w:rsidRPr="00D61ACD" w:rsidRDefault="00856DA1" w:rsidP="008743B0">
    <w:pPr>
      <w:pStyle w:val="Pidipagina"/>
      <w:ind w:left="-1276"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49DF4" w14:textId="77777777" w:rsidR="00CB5671" w:rsidRDefault="00CB5671">
      <w:r>
        <w:separator/>
      </w:r>
    </w:p>
  </w:footnote>
  <w:footnote w:type="continuationSeparator" w:id="0">
    <w:p w14:paraId="1C9F36E5" w14:textId="77777777" w:rsidR="00CB5671" w:rsidRDefault="00CB5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7FD6F1" w14:textId="3742BA3B" w:rsidR="00B049AF" w:rsidRPr="00B049AF" w:rsidRDefault="00B049AF" w:rsidP="00B049AF">
    <w:pPr>
      <w:pStyle w:val="Intestazione"/>
    </w:pPr>
    <w:r>
      <w:rPr>
        <w:rFonts w:ascii="Helvetica" w:hAnsi="Helvetica"/>
        <w:b/>
        <w:noProof/>
        <w:sz w:val="18"/>
        <w:szCs w:val="18"/>
      </w:rPr>
      <w:drawing>
        <wp:inline distT="0" distB="0" distL="0" distR="0" wp14:anchorId="15EF2A8D" wp14:editId="134010C8">
          <wp:extent cx="2660650" cy="520700"/>
          <wp:effectExtent l="0" t="0" r="6350" b="0"/>
          <wp:docPr id="1" name="Immagine 1" descr="Copia di logo colori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ia di logo colori6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6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D49D5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A5EB6"/>
    <w:multiLevelType w:val="hybridMultilevel"/>
    <w:tmpl w:val="31D89446"/>
    <w:lvl w:ilvl="0" w:tplc="32B48E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1089E"/>
    <w:multiLevelType w:val="hybridMultilevel"/>
    <w:tmpl w:val="4C54B6C0"/>
    <w:lvl w:ilvl="0" w:tplc="74CC4CDE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CD50127"/>
    <w:multiLevelType w:val="hybridMultilevel"/>
    <w:tmpl w:val="20E4204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93470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C2233B6"/>
    <w:multiLevelType w:val="hybridMultilevel"/>
    <w:tmpl w:val="890644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E749C"/>
    <w:multiLevelType w:val="hybridMultilevel"/>
    <w:tmpl w:val="18FCE3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8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44"/>
    <w:rsid w:val="00001240"/>
    <w:rsid w:val="000018A0"/>
    <w:rsid w:val="00001A30"/>
    <w:rsid w:val="00004013"/>
    <w:rsid w:val="00006D42"/>
    <w:rsid w:val="00010D86"/>
    <w:rsid w:val="000120CF"/>
    <w:rsid w:val="00021A68"/>
    <w:rsid w:val="000323BA"/>
    <w:rsid w:val="000353FD"/>
    <w:rsid w:val="00036368"/>
    <w:rsid w:val="000369A2"/>
    <w:rsid w:val="00041E53"/>
    <w:rsid w:val="00042507"/>
    <w:rsid w:val="0004340D"/>
    <w:rsid w:val="00046CA4"/>
    <w:rsid w:val="00053091"/>
    <w:rsid w:val="00055F05"/>
    <w:rsid w:val="000615D9"/>
    <w:rsid w:val="00064685"/>
    <w:rsid w:val="00067A44"/>
    <w:rsid w:val="000719D3"/>
    <w:rsid w:val="00071FA1"/>
    <w:rsid w:val="0007231B"/>
    <w:rsid w:val="0007528D"/>
    <w:rsid w:val="00075F0B"/>
    <w:rsid w:val="00083757"/>
    <w:rsid w:val="00083C3F"/>
    <w:rsid w:val="00083DE1"/>
    <w:rsid w:val="000845C0"/>
    <w:rsid w:val="000902E2"/>
    <w:rsid w:val="00092552"/>
    <w:rsid w:val="000931CF"/>
    <w:rsid w:val="00093471"/>
    <w:rsid w:val="00094553"/>
    <w:rsid w:val="00096182"/>
    <w:rsid w:val="00096A96"/>
    <w:rsid w:val="000A4BE0"/>
    <w:rsid w:val="000A5ADE"/>
    <w:rsid w:val="000B244A"/>
    <w:rsid w:val="000B358D"/>
    <w:rsid w:val="000B511D"/>
    <w:rsid w:val="000B55D6"/>
    <w:rsid w:val="000B6270"/>
    <w:rsid w:val="000B6B54"/>
    <w:rsid w:val="000C05B4"/>
    <w:rsid w:val="000C1B61"/>
    <w:rsid w:val="000C2FB8"/>
    <w:rsid w:val="000C3864"/>
    <w:rsid w:val="000C436D"/>
    <w:rsid w:val="000C4DF9"/>
    <w:rsid w:val="000C5E34"/>
    <w:rsid w:val="000D1913"/>
    <w:rsid w:val="000D5E0F"/>
    <w:rsid w:val="000E1D4A"/>
    <w:rsid w:val="000E2BA6"/>
    <w:rsid w:val="000E3438"/>
    <w:rsid w:val="000E3DE7"/>
    <w:rsid w:val="000E722F"/>
    <w:rsid w:val="000E7E32"/>
    <w:rsid w:val="000E7EE6"/>
    <w:rsid w:val="000F14E2"/>
    <w:rsid w:val="00100106"/>
    <w:rsid w:val="00101530"/>
    <w:rsid w:val="00102B94"/>
    <w:rsid w:val="00107DAF"/>
    <w:rsid w:val="0011352F"/>
    <w:rsid w:val="00113837"/>
    <w:rsid w:val="001174E0"/>
    <w:rsid w:val="00122D29"/>
    <w:rsid w:val="0012409E"/>
    <w:rsid w:val="00131302"/>
    <w:rsid w:val="00133667"/>
    <w:rsid w:val="00137CF3"/>
    <w:rsid w:val="00140591"/>
    <w:rsid w:val="00141DFC"/>
    <w:rsid w:val="0014273A"/>
    <w:rsid w:val="00151425"/>
    <w:rsid w:val="0015211C"/>
    <w:rsid w:val="001523AE"/>
    <w:rsid w:val="00153A0F"/>
    <w:rsid w:val="00163647"/>
    <w:rsid w:val="001677EE"/>
    <w:rsid w:val="00167D50"/>
    <w:rsid w:val="001721E5"/>
    <w:rsid w:val="00173316"/>
    <w:rsid w:val="0017571B"/>
    <w:rsid w:val="0017599A"/>
    <w:rsid w:val="00176E0F"/>
    <w:rsid w:val="001800DC"/>
    <w:rsid w:val="00186AAA"/>
    <w:rsid w:val="001920DB"/>
    <w:rsid w:val="00197C68"/>
    <w:rsid w:val="001A02E7"/>
    <w:rsid w:val="001A2D68"/>
    <w:rsid w:val="001A317E"/>
    <w:rsid w:val="001A623E"/>
    <w:rsid w:val="001A71FC"/>
    <w:rsid w:val="001B66ED"/>
    <w:rsid w:val="001C1278"/>
    <w:rsid w:val="001C1E82"/>
    <w:rsid w:val="001C6B15"/>
    <w:rsid w:val="001D19D2"/>
    <w:rsid w:val="001D442C"/>
    <w:rsid w:val="001D5C4F"/>
    <w:rsid w:val="001E3157"/>
    <w:rsid w:val="001E4BE5"/>
    <w:rsid w:val="001E759A"/>
    <w:rsid w:val="001E7CEF"/>
    <w:rsid w:val="001F0B5B"/>
    <w:rsid w:val="001F3172"/>
    <w:rsid w:val="001F39B2"/>
    <w:rsid w:val="001F5371"/>
    <w:rsid w:val="001F796D"/>
    <w:rsid w:val="002022AC"/>
    <w:rsid w:val="00202EAC"/>
    <w:rsid w:val="002030C7"/>
    <w:rsid w:val="00204734"/>
    <w:rsid w:val="00204743"/>
    <w:rsid w:val="00215E5B"/>
    <w:rsid w:val="00216001"/>
    <w:rsid w:val="00216613"/>
    <w:rsid w:val="00217734"/>
    <w:rsid w:val="00217905"/>
    <w:rsid w:val="00220C2F"/>
    <w:rsid w:val="00220DA0"/>
    <w:rsid w:val="00221224"/>
    <w:rsid w:val="00221617"/>
    <w:rsid w:val="00221D2F"/>
    <w:rsid w:val="0022501E"/>
    <w:rsid w:val="0022674A"/>
    <w:rsid w:val="002275F4"/>
    <w:rsid w:val="00227A25"/>
    <w:rsid w:val="0023414A"/>
    <w:rsid w:val="00236224"/>
    <w:rsid w:val="00241DAB"/>
    <w:rsid w:val="00244B1F"/>
    <w:rsid w:val="00245B7E"/>
    <w:rsid w:val="00247B3E"/>
    <w:rsid w:val="002527F9"/>
    <w:rsid w:val="002533E8"/>
    <w:rsid w:val="00255DA2"/>
    <w:rsid w:val="002622CE"/>
    <w:rsid w:val="0026387E"/>
    <w:rsid w:val="00264C51"/>
    <w:rsid w:val="00265CE9"/>
    <w:rsid w:val="00272228"/>
    <w:rsid w:val="0027232D"/>
    <w:rsid w:val="00276967"/>
    <w:rsid w:val="0027761C"/>
    <w:rsid w:val="00277D34"/>
    <w:rsid w:val="00283F6B"/>
    <w:rsid w:val="0028640F"/>
    <w:rsid w:val="00287A0C"/>
    <w:rsid w:val="00291EB6"/>
    <w:rsid w:val="00291F98"/>
    <w:rsid w:val="00296CCB"/>
    <w:rsid w:val="002A0653"/>
    <w:rsid w:val="002A39F2"/>
    <w:rsid w:val="002A41CC"/>
    <w:rsid w:val="002A4366"/>
    <w:rsid w:val="002A789A"/>
    <w:rsid w:val="002B22DC"/>
    <w:rsid w:val="002B2B25"/>
    <w:rsid w:val="002B2F4A"/>
    <w:rsid w:val="002C32BE"/>
    <w:rsid w:val="002C51DE"/>
    <w:rsid w:val="002C5E69"/>
    <w:rsid w:val="002C6568"/>
    <w:rsid w:val="002D5A58"/>
    <w:rsid w:val="002E29AF"/>
    <w:rsid w:val="002E5B34"/>
    <w:rsid w:val="002F0219"/>
    <w:rsid w:val="002F4AB7"/>
    <w:rsid w:val="002F58C2"/>
    <w:rsid w:val="002F6BD3"/>
    <w:rsid w:val="003006A8"/>
    <w:rsid w:val="00300A98"/>
    <w:rsid w:val="0030167E"/>
    <w:rsid w:val="003026D4"/>
    <w:rsid w:val="00305E5F"/>
    <w:rsid w:val="00311AB8"/>
    <w:rsid w:val="00315162"/>
    <w:rsid w:val="003163CB"/>
    <w:rsid w:val="00317046"/>
    <w:rsid w:val="00317A17"/>
    <w:rsid w:val="00322009"/>
    <w:rsid w:val="003274CC"/>
    <w:rsid w:val="003322DA"/>
    <w:rsid w:val="003349B5"/>
    <w:rsid w:val="00336584"/>
    <w:rsid w:val="003447E7"/>
    <w:rsid w:val="00344F79"/>
    <w:rsid w:val="00345EDC"/>
    <w:rsid w:val="0035104A"/>
    <w:rsid w:val="0035581E"/>
    <w:rsid w:val="0036772F"/>
    <w:rsid w:val="00370A54"/>
    <w:rsid w:val="00370DCC"/>
    <w:rsid w:val="00372358"/>
    <w:rsid w:val="00376156"/>
    <w:rsid w:val="003822DC"/>
    <w:rsid w:val="00383C4B"/>
    <w:rsid w:val="00386B6B"/>
    <w:rsid w:val="00390BDC"/>
    <w:rsid w:val="00391579"/>
    <w:rsid w:val="00393732"/>
    <w:rsid w:val="003A0E9D"/>
    <w:rsid w:val="003A5C44"/>
    <w:rsid w:val="003A7F9F"/>
    <w:rsid w:val="003B0BE4"/>
    <w:rsid w:val="003B0E97"/>
    <w:rsid w:val="003B3A0C"/>
    <w:rsid w:val="003B5537"/>
    <w:rsid w:val="003B6CD7"/>
    <w:rsid w:val="003C3FAE"/>
    <w:rsid w:val="003D0E7B"/>
    <w:rsid w:val="003D23E1"/>
    <w:rsid w:val="003E074E"/>
    <w:rsid w:val="003F3EF5"/>
    <w:rsid w:val="004016DF"/>
    <w:rsid w:val="00403C7C"/>
    <w:rsid w:val="00406B1B"/>
    <w:rsid w:val="00412277"/>
    <w:rsid w:val="00417BEE"/>
    <w:rsid w:val="00420C99"/>
    <w:rsid w:val="0042110B"/>
    <w:rsid w:val="004314C4"/>
    <w:rsid w:val="00437832"/>
    <w:rsid w:val="00442D34"/>
    <w:rsid w:val="00443FE9"/>
    <w:rsid w:val="0044597B"/>
    <w:rsid w:val="00446778"/>
    <w:rsid w:val="004477AC"/>
    <w:rsid w:val="00451C95"/>
    <w:rsid w:val="0045253C"/>
    <w:rsid w:val="004538FD"/>
    <w:rsid w:val="00453E4D"/>
    <w:rsid w:val="00453FAD"/>
    <w:rsid w:val="0045648E"/>
    <w:rsid w:val="004567BB"/>
    <w:rsid w:val="00464970"/>
    <w:rsid w:val="0046752C"/>
    <w:rsid w:val="00473793"/>
    <w:rsid w:val="004746BA"/>
    <w:rsid w:val="004752BF"/>
    <w:rsid w:val="004821CB"/>
    <w:rsid w:val="0048220A"/>
    <w:rsid w:val="004877E0"/>
    <w:rsid w:val="00492B07"/>
    <w:rsid w:val="004932E2"/>
    <w:rsid w:val="00494772"/>
    <w:rsid w:val="004A7FE7"/>
    <w:rsid w:val="004B4400"/>
    <w:rsid w:val="004B6F9F"/>
    <w:rsid w:val="004B76A9"/>
    <w:rsid w:val="004B7CC8"/>
    <w:rsid w:val="004C1036"/>
    <w:rsid w:val="004C7E52"/>
    <w:rsid w:val="004D526A"/>
    <w:rsid w:val="004D73C5"/>
    <w:rsid w:val="004D7B74"/>
    <w:rsid w:val="004E347D"/>
    <w:rsid w:val="004E64E0"/>
    <w:rsid w:val="004E7CA0"/>
    <w:rsid w:val="004F0B06"/>
    <w:rsid w:val="005002D3"/>
    <w:rsid w:val="005015C5"/>
    <w:rsid w:val="00510780"/>
    <w:rsid w:val="00514888"/>
    <w:rsid w:val="00520051"/>
    <w:rsid w:val="0052090A"/>
    <w:rsid w:val="0052636C"/>
    <w:rsid w:val="005273D6"/>
    <w:rsid w:val="00534F75"/>
    <w:rsid w:val="00536EC3"/>
    <w:rsid w:val="00541AAF"/>
    <w:rsid w:val="00543B1B"/>
    <w:rsid w:val="00571EFF"/>
    <w:rsid w:val="00585988"/>
    <w:rsid w:val="00596257"/>
    <w:rsid w:val="005970D4"/>
    <w:rsid w:val="005A056B"/>
    <w:rsid w:val="005B076D"/>
    <w:rsid w:val="005B143D"/>
    <w:rsid w:val="005B21E8"/>
    <w:rsid w:val="005B5037"/>
    <w:rsid w:val="005C6DF1"/>
    <w:rsid w:val="005D050D"/>
    <w:rsid w:val="005D16CA"/>
    <w:rsid w:val="005D38CF"/>
    <w:rsid w:val="005D4FE9"/>
    <w:rsid w:val="005D6B18"/>
    <w:rsid w:val="005E2B66"/>
    <w:rsid w:val="005E4805"/>
    <w:rsid w:val="005E4927"/>
    <w:rsid w:val="005F01EB"/>
    <w:rsid w:val="005F099E"/>
    <w:rsid w:val="005F212D"/>
    <w:rsid w:val="005F55F6"/>
    <w:rsid w:val="005F5A74"/>
    <w:rsid w:val="005F78AA"/>
    <w:rsid w:val="006011CA"/>
    <w:rsid w:val="00602037"/>
    <w:rsid w:val="00605E01"/>
    <w:rsid w:val="00612212"/>
    <w:rsid w:val="0061493B"/>
    <w:rsid w:val="00616273"/>
    <w:rsid w:val="006177F9"/>
    <w:rsid w:val="00622E81"/>
    <w:rsid w:val="006243B8"/>
    <w:rsid w:val="00625F26"/>
    <w:rsid w:val="00626FCC"/>
    <w:rsid w:val="006275A2"/>
    <w:rsid w:val="00630691"/>
    <w:rsid w:val="00630B87"/>
    <w:rsid w:val="00634314"/>
    <w:rsid w:val="0063441A"/>
    <w:rsid w:val="00641911"/>
    <w:rsid w:val="00641A71"/>
    <w:rsid w:val="006422DC"/>
    <w:rsid w:val="00642C44"/>
    <w:rsid w:val="0064478C"/>
    <w:rsid w:val="00645480"/>
    <w:rsid w:val="00650DEF"/>
    <w:rsid w:val="00652D0A"/>
    <w:rsid w:val="00657242"/>
    <w:rsid w:val="006607C4"/>
    <w:rsid w:val="00660F11"/>
    <w:rsid w:val="006617CE"/>
    <w:rsid w:val="00667DD5"/>
    <w:rsid w:val="006716E4"/>
    <w:rsid w:val="00671A44"/>
    <w:rsid w:val="00672847"/>
    <w:rsid w:val="00674C1C"/>
    <w:rsid w:val="00676AEC"/>
    <w:rsid w:val="00680C70"/>
    <w:rsid w:val="00681014"/>
    <w:rsid w:val="00681319"/>
    <w:rsid w:val="0068406B"/>
    <w:rsid w:val="00686C91"/>
    <w:rsid w:val="00693F9D"/>
    <w:rsid w:val="0069420C"/>
    <w:rsid w:val="006A0CDB"/>
    <w:rsid w:val="006A1256"/>
    <w:rsid w:val="006A4505"/>
    <w:rsid w:val="006A46F1"/>
    <w:rsid w:val="006A4C5E"/>
    <w:rsid w:val="006A761E"/>
    <w:rsid w:val="006B2D44"/>
    <w:rsid w:val="006C5D4F"/>
    <w:rsid w:val="006C6B37"/>
    <w:rsid w:val="006D26B7"/>
    <w:rsid w:val="006E04EA"/>
    <w:rsid w:val="006E2F4A"/>
    <w:rsid w:val="006F3758"/>
    <w:rsid w:val="006F665E"/>
    <w:rsid w:val="006F741D"/>
    <w:rsid w:val="0070045C"/>
    <w:rsid w:val="00700A8D"/>
    <w:rsid w:val="00700FA0"/>
    <w:rsid w:val="00701AB3"/>
    <w:rsid w:val="00702FCC"/>
    <w:rsid w:val="0070315E"/>
    <w:rsid w:val="00703D68"/>
    <w:rsid w:val="007067E9"/>
    <w:rsid w:val="0071206B"/>
    <w:rsid w:val="007135F2"/>
    <w:rsid w:val="007210EA"/>
    <w:rsid w:val="00723F88"/>
    <w:rsid w:val="0073468A"/>
    <w:rsid w:val="00745B1F"/>
    <w:rsid w:val="007523CF"/>
    <w:rsid w:val="00752F64"/>
    <w:rsid w:val="00756654"/>
    <w:rsid w:val="00760134"/>
    <w:rsid w:val="007623F6"/>
    <w:rsid w:val="00766E03"/>
    <w:rsid w:val="00771A54"/>
    <w:rsid w:val="00774BD4"/>
    <w:rsid w:val="007776BB"/>
    <w:rsid w:val="00781CA9"/>
    <w:rsid w:val="0078381E"/>
    <w:rsid w:val="00783DBA"/>
    <w:rsid w:val="007846A0"/>
    <w:rsid w:val="00785A55"/>
    <w:rsid w:val="00787E58"/>
    <w:rsid w:val="0079144D"/>
    <w:rsid w:val="0079533E"/>
    <w:rsid w:val="00797BB0"/>
    <w:rsid w:val="007A0397"/>
    <w:rsid w:val="007A1CF4"/>
    <w:rsid w:val="007A5628"/>
    <w:rsid w:val="007B1098"/>
    <w:rsid w:val="007B2D94"/>
    <w:rsid w:val="007B3FCD"/>
    <w:rsid w:val="007B5776"/>
    <w:rsid w:val="007B64A9"/>
    <w:rsid w:val="007B6B96"/>
    <w:rsid w:val="007C1227"/>
    <w:rsid w:val="007C13D2"/>
    <w:rsid w:val="007C27F1"/>
    <w:rsid w:val="007C6DDA"/>
    <w:rsid w:val="007D23A9"/>
    <w:rsid w:val="007E22CD"/>
    <w:rsid w:val="007E59B3"/>
    <w:rsid w:val="007E78ED"/>
    <w:rsid w:val="007F08AC"/>
    <w:rsid w:val="007F1D7D"/>
    <w:rsid w:val="007F457E"/>
    <w:rsid w:val="007F4B8D"/>
    <w:rsid w:val="00801C1C"/>
    <w:rsid w:val="00807D7D"/>
    <w:rsid w:val="00811FB5"/>
    <w:rsid w:val="00813F69"/>
    <w:rsid w:val="008149B2"/>
    <w:rsid w:val="00815293"/>
    <w:rsid w:val="0081647D"/>
    <w:rsid w:val="008171B6"/>
    <w:rsid w:val="00826469"/>
    <w:rsid w:val="00826A92"/>
    <w:rsid w:val="00826ED0"/>
    <w:rsid w:val="00835863"/>
    <w:rsid w:val="0084265D"/>
    <w:rsid w:val="00843609"/>
    <w:rsid w:val="00843DC9"/>
    <w:rsid w:val="00845952"/>
    <w:rsid w:val="00846D4B"/>
    <w:rsid w:val="00851289"/>
    <w:rsid w:val="0085211B"/>
    <w:rsid w:val="008521BC"/>
    <w:rsid w:val="00854DF1"/>
    <w:rsid w:val="00856390"/>
    <w:rsid w:val="00856DA1"/>
    <w:rsid w:val="00860DBE"/>
    <w:rsid w:val="0086288D"/>
    <w:rsid w:val="00866672"/>
    <w:rsid w:val="008674F6"/>
    <w:rsid w:val="008743B0"/>
    <w:rsid w:val="008819B3"/>
    <w:rsid w:val="00890A64"/>
    <w:rsid w:val="008913D4"/>
    <w:rsid w:val="00891ADC"/>
    <w:rsid w:val="00892118"/>
    <w:rsid w:val="008943E5"/>
    <w:rsid w:val="00895EC5"/>
    <w:rsid w:val="008964D5"/>
    <w:rsid w:val="00896E36"/>
    <w:rsid w:val="008A0473"/>
    <w:rsid w:val="008A3F68"/>
    <w:rsid w:val="008A4C07"/>
    <w:rsid w:val="008A7F78"/>
    <w:rsid w:val="008B26CE"/>
    <w:rsid w:val="008B311B"/>
    <w:rsid w:val="008B4BEC"/>
    <w:rsid w:val="008C32B9"/>
    <w:rsid w:val="008C5B2F"/>
    <w:rsid w:val="008C64AA"/>
    <w:rsid w:val="008C672B"/>
    <w:rsid w:val="008D0D86"/>
    <w:rsid w:val="008D246B"/>
    <w:rsid w:val="008D54A6"/>
    <w:rsid w:val="008D63E3"/>
    <w:rsid w:val="008D7F81"/>
    <w:rsid w:val="008E1CD8"/>
    <w:rsid w:val="008E2E6C"/>
    <w:rsid w:val="008E3C9A"/>
    <w:rsid w:val="008E45C4"/>
    <w:rsid w:val="008E7523"/>
    <w:rsid w:val="008E7BC2"/>
    <w:rsid w:val="008F0D1B"/>
    <w:rsid w:val="008F1EA0"/>
    <w:rsid w:val="008F2D0F"/>
    <w:rsid w:val="008F3955"/>
    <w:rsid w:val="008F3CA3"/>
    <w:rsid w:val="008F6F84"/>
    <w:rsid w:val="008F7C10"/>
    <w:rsid w:val="0090072D"/>
    <w:rsid w:val="0090792C"/>
    <w:rsid w:val="00912D80"/>
    <w:rsid w:val="00913503"/>
    <w:rsid w:val="00925694"/>
    <w:rsid w:val="00925F70"/>
    <w:rsid w:val="00925F72"/>
    <w:rsid w:val="00932BB5"/>
    <w:rsid w:val="00933476"/>
    <w:rsid w:val="00934962"/>
    <w:rsid w:val="0093596C"/>
    <w:rsid w:val="009376CF"/>
    <w:rsid w:val="00941B5C"/>
    <w:rsid w:val="0094307D"/>
    <w:rsid w:val="00943C55"/>
    <w:rsid w:val="009452F6"/>
    <w:rsid w:val="00954085"/>
    <w:rsid w:val="00954BCB"/>
    <w:rsid w:val="009560E2"/>
    <w:rsid w:val="009603EE"/>
    <w:rsid w:val="00960934"/>
    <w:rsid w:val="00960D81"/>
    <w:rsid w:val="00961C2F"/>
    <w:rsid w:val="00964A65"/>
    <w:rsid w:val="00967876"/>
    <w:rsid w:val="00970D30"/>
    <w:rsid w:val="009734A3"/>
    <w:rsid w:val="009807DF"/>
    <w:rsid w:val="009812DE"/>
    <w:rsid w:val="00982DB4"/>
    <w:rsid w:val="00985906"/>
    <w:rsid w:val="009862F1"/>
    <w:rsid w:val="009871E5"/>
    <w:rsid w:val="00993326"/>
    <w:rsid w:val="00993994"/>
    <w:rsid w:val="009944AB"/>
    <w:rsid w:val="009A0512"/>
    <w:rsid w:val="009A2C77"/>
    <w:rsid w:val="009A3465"/>
    <w:rsid w:val="009A3C07"/>
    <w:rsid w:val="009A4361"/>
    <w:rsid w:val="009A4E62"/>
    <w:rsid w:val="009A548B"/>
    <w:rsid w:val="009A76B3"/>
    <w:rsid w:val="009B1A98"/>
    <w:rsid w:val="009C53E4"/>
    <w:rsid w:val="009D055D"/>
    <w:rsid w:val="009D20BC"/>
    <w:rsid w:val="009D3DCF"/>
    <w:rsid w:val="009E108E"/>
    <w:rsid w:val="009E5396"/>
    <w:rsid w:val="009E5452"/>
    <w:rsid w:val="009E5CD0"/>
    <w:rsid w:val="009E62AD"/>
    <w:rsid w:val="009F61C2"/>
    <w:rsid w:val="00A02AB4"/>
    <w:rsid w:val="00A05B8C"/>
    <w:rsid w:val="00A06EA3"/>
    <w:rsid w:val="00A078A3"/>
    <w:rsid w:val="00A07AB0"/>
    <w:rsid w:val="00A12684"/>
    <w:rsid w:val="00A135A6"/>
    <w:rsid w:val="00A13615"/>
    <w:rsid w:val="00A176D2"/>
    <w:rsid w:val="00A21659"/>
    <w:rsid w:val="00A21704"/>
    <w:rsid w:val="00A25CD7"/>
    <w:rsid w:val="00A30320"/>
    <w:rsid w:val="00A336EE"/>
    <w:rsid w:val="00A348B5"/>
    <w:rsid w:val="00A36BB2"/>
    <w:rsid w:val="00A405C8"/>
    <w:rsid w:val="00A40821"/>
    <w:rsid w:val="00A4220E"/>
    <w:rsid w:val="00A43499"/>
    <w:rsid w:val="00A473E9"/>
    <w:rsid w:val="00A47DE5"/>
    <w:rsid w:val="00A554DB"/>
    <w:rsid w:val="00A57404"/>
    <w:rsid w:val="00A57D20"/>
    <w:rsid w:val="00A602C5"/>
    <w:rsid w:val="00A74EEC"/>
    <w:rsid w:val="00A774DA"/>
    <w:rsid w:val="00A80321"/>
    <w:rsid w:val="00A811EA"/>
    <w:rsid w:val="00A859B0"/>
    <w:rsid w:val="00A8642C"/>
    <w:rsid w:val="00A86FEC"/>
    <w:rsid w:val="00A9023A"/>
    <w:rsid w:val="00A951EA"/>
    <w:rsid w:val="00AA0C82"/>
    <w:rsid w:val="00AA18A8"/>
    <w:rsid w:val="00AA3B20"/>
    <w:rsid w:val="00AA43FA"/>
    <w:rsid w:val="00AA4A01"/>
    <w:rsid w:val="00AB4637"/>
    <w:rsid w:val="00AB5DD5"/>
    <w:rsid w:val="00AB625A"/>
    <w:rsid w:val="00AB72C1"/>
    <w:rsid w:val="00AC215B"/>
    <w:rsid w:val="00AC277A"/>
    <w:rsid w:val="00AC28F7"/>
    <w:rsid w:val="00AC3CEB"/>
    <w:rsid w:val="00AD0885"/>
    <w:rsid w:val="00AD1495"/>
    <w:rsid w:val="00AD2C55"/>
    <w:rsid w:val="00AD786E"/>
    <w:rsid w:val="00AE050B"/>
    <w:rsid w:val="00AE08F9"/>
    <w:rsid w:val="00AE093F"/>
    <w:rsid w:val="00AE19FF"/>
    <w:rsid w:val="00AE3023"/>
    <w:rsid w:val="00AE63AB"/>
    <w:rsid w:val="00AE76F6"/>
    <w:rsid w:val="00AF00ED"/>
    <w:rsid w:val="00AF3A88"/>
    <w:rsid w:val="00AF5353"/>
    <w:rsid w:val="00AF76CE"/>
    <w:rsid w:val="00B03767"/>
    <w:rsid w:val="00B04279"/>
    <w:rsid w:val="00B049AF"/>
    <w:rsid w:val="00B1122F"/>
    <w:rsid w:val="00B1127D"/>
    <w:rsid w:val="00B134B6"/>
    <w:rsid w:val="00B1370D"/>
    <w:rsid w:val="00B142A1"/>
    <w:rsid w:val="00B20353"/>
    <w:rsid w:val="00B203C5"/>
    <w:rsid w:val="00B21EFA"/>
    <w:rsid w:val="00B247A7"/>
    <w:rsid w:val="00B260A6"/>
    <w:rsid w:val="00B274A1"/>
    <w:rsid w:val="00B31F27"/>
    <w:rsid w:val="00B32EBF"/>
    <w:rsid w:val="00B3396D"/>
    <w:rsid w:val="00B34499"/>
    <w:rsid w:val="00B37D58"/>
    <w:rsid w:val="00B401B8"/>
    <w:rsid w:val="00B4071E"/>
    <w:rsid w:val="00B443B8"/>
    <w:rsid w:val="00B45934"/>
    <w:rsid w:val="00B507E7"/>
    <w:rsid w:val="00B52C7E"/>
    <w:rsid w:val="00B55A03"/>
    <w:rsid w:val="00B55B9C"/>
    <w:rsid w:val="00B57911"/>
    <w:rsid w:val="00B61CA8"/>
    <w:rsid w:val="00B62417"/>
    <w:rsid w:val="00B6280C"/>
    <w:rsid w:val="00B62AA1"/>
    <w:rsid w:val="00B62AEB"/>
    <w:rsid w:val="00B63E44"/>
    <w:rsid w:val="00B667B4"/>
    <w:rsid w:val="00B66DF3"/>
    <w:rsid w:val="00B67622"/>
    <w:rsid w:val="00B70219"/>
    <w:rsid w:val="00B72C28"/>
    <w:rsid w:val="00B813D3"/>
    <w:rsid w:val="00B816BD"/>
    <w:rsid w:val="00B81AFB"/>
    <w:rsid w:val="00B853F4"/>
    <w:rsid w:val="00B93642"/>
    <w:rsid w:val="00BA05F0"/>
    <w:rsid w:val="00BA246C"/>
    <w:rsid w:val="00BA289F"/>
    <w:rsid w:val="00BB5703"/>
    <w:rsid w:val="00BB5DE6"/>
    <w:rsid w:val="00BC1AA7"/>
    <w:rsid w:val="00BC3D58"/>
    <w:rsid w:val="00BD10EF"/>
    <w:rsid w:val="00BD71F3"/>
    <w:rsid w:val="00BE3B72"/>
    <w:rsid w:val="00BE6B78"/>
    <w:rsid w:val="00BF0885"/>
    <w:rsid w:val="00BF15C3"/>
    <w:rsid w:val="00BF1707"/>
    <w:rsid w:val="00BF3750"/>
    <w:rsid w:val="00BF5372"/>
    <w:rsid w:val="00BF6D4A"/>
    <w:rsid w:val="00BF6D99"/>
    <w:rsid w:val="00C05691"/>
    <w:rsid w:val="00C12AC8"/>
    <w:rsid w:val="00C14CD7"/>
    <w:rsid w:val="00C178E1"/>
    <w:rsid w:val="00C17F23"/>
    <w:rsid w:val="00C21275"/>
    <w:rsid w:val="00C21747"/>
    <w:rsid w:val="00C35F66"/>
    <w:rsid w:val="00C37CCC"/>
    <w:rsid w:val="00C40621"/>
    <w:rsid w:val="00C42113"/>
    <w:rsid w:val="00C44F4C"/>
    <w:rsid w:val="00C45710"/>
    <w:rsid w:val="00C46299"/>
    <w:rsid w:val="00C51A2B"/>
    <w:rsid w:val="00C56337"/>
    <w:rsid w:val="00C56960"/>
    <w:rsid w:val="00C57924"/>
    <w:rsid w:val="00C62315"/>
    <w:rsid w:val="00C63621"/>
    <w:rsid w:val="00C64015"/>
    <w:rsid w:val="00C667F9"/>
    <w:rsid w:val="00C70087"/>
    <w:rsid w:val="00C70C6A"/>
    <w:rsid w:val="00C7167B"/>
    <w:rsid w:val="00C73F70"/>
    <w:rsid w:val="00C74EC9"/>
    <w:rsid w:val="00C77A92"/>
    <w:rsid w:val="00C77BEA"/>
    <w:rsid w:val="00C80C94"/>
    <w:rsid w:val="00C81CEF"/>
    <w:rsid w:val="00C8266A"/>
    <w:rsid w:val="00C83943"/>
    <w:rsid w:val="00C83D0A"/>
    <w:rsid w:val="00C844DB"/>
    <w:rsid w:val="00C8490E"/>
    <w:rsid w:val="00C84F10"/>
    <w:rsid w:val="00C85993"/>
    <w:rsid w:val="00C94408"/>
    <w:rsid w:val="00C971D1"/>
    <w:rsid w:val="00CA0E27"/>
    <w:rsid w:val="00CA1C27"/>
    <w:rsid w:val="00CA230B"/>
    <w:rsid w:val="00CA3C00"/>
    <w:rsid w:val="00CB5671"/>
    <w:rsid w:val="00CB72B2"/>
    <w:rsid w:val="00CC471B"/>
    <w:rsid w:val="00CC4C02"/>
    <w:rsid w:val="00CC6124"/>
    <w:rsid w:val="00CD0E0C"/>
    <w:rsid w:val="00CD2C69"/>
    <w:rsid w:val="00CD6F17"/>
    <w:rsid w:val="00CD7665"/>
    <w:rsid w:val="00CE4E52"/>
    <w:rsid w:val="00CF0BC4"/>
    <w:rsid w:val="00CF3CEB"/>
    <w:rsid w:val="00CF49AE"/>
    <w:rsid w:val="00CF6CC6"/>
    <w:rsid w:val="00D01530"/>
    <w:rsid w:val="00D03522"/>
    <w:rsid w:val="00D03A59"/>
    <w:rsid w:val="00D05830"/>
    <w:rsid w:val="00D06098"/>
    <w:rsid w:val="00D06137"/>
    <w:rsid w:val="00D126C5"/>
    <w:rsid w:val="00D2087B"/>
    <w:rsid w:val="00D227B7"/>
    <w:rsid w:val="00D311A6"/>
    <w:rsid w:val="00D33214"/>
    <w:rsid w:val="00D35E64"/>
    <w:rsid w:val="00D42FF1"/>
    <w:rsid w:val="00D6073A"/>
    <w:rsid w:val="00D619B3"/>
    <w:rsid w:val="00D666C5"/>
    <w:rsid w:val="00D701EA"/>
    <w:rsid w:val="00D7143C"/>
    <w:rsid w:val="00D72E95"/>
    <w:rsid w:val="00D73D19"/>
    <w:rsid w:val="00D771CC"/>
    <w:rsid w:val="00D9643B"/>
    <w:rsid w:val="00D977A0"/>
    <w:rsid w:val="00D97A2E"/>
    <w:rsid w:val="00DA71C4"/>
    <w:rsid w:val="00DB2028"/>
    <w:rsid w:val="00DB3614"/>
    <w:rsid w:val="00DB482B"/>
    <w:rsid w:val="00DB7264"/>
    <w:rsid w:val="00DC0619"/>
    <w:rsid w:val="00DC4114"/>
    <w:rsid w:val="00DC52A5"/>
    <w:rsid w:val="00DC5FDA"/>
    <w:rsid w:val="00DC619C"/>
    <w:rsid w:val="00DD0A53"/>
    <w:rsid w:val="00DD6513"/>
    <w:rsid w:val="00DE3E32"/>
    <w:rsid w:val="00DE4DC8"/>
    <w:rsid w:val="00DE5782"/>
    <w:rsid w:val="00DF4714"/>
    <w:rsid w:val="00DF50D8"/>
    <w:rsid w:val="00DF7CCD"/>
    <w:rsid w:val="00E06264"/>
    <w:rsid w:val="00E064AC"/>
    <w:rsid w:val="00E13AAB"/>
    <w:rsid w:val="00E14500"/>
    <w:rsid w:val="00E1454B"/>
    <w:rsid w:val="00E14D1C"/>
    <w:rsid w:val="00E15283"/>
    <w:rsid w:val="00E16121"/>
    <w:rsid w:val="00E21500"/>
    <w:rsid w:val="00E23215"/>
    <w:rsid w:val="00E25E07"/>
    <w:rsid w:val="00E26BCF"/>
    <w:rsid w:val="00E27617"/>
    <w:rsid w:val="00E308B3"/>
    <w:rsid w:val="00E31664"/>
    <w:rsid w:val="00E3234E"/>
    <w:rsid w:val="00E338A5"/>
    <w:rsid w:val="00E417E8"/>
    <w:rsid w:val="00E448F3"/>
    <w:rsid w:val="00E44996"/>
    <w:rsid w:val="00E522F3"/>
    <w:rsid w:val="00E533B0"/>
    <w:rsid w:val="00E53CA8"/>
    <w:rsid w:val="00E53E20"/>
    <w:rsid w:val="00E5415C"/>
    <w:rsid w:val="00E5437C"/>
    <w:rsid w:val="00E6437E"/>
    <w:rsid w:val="00E65B3D"/>
    <w:rsid w:val="00E65E14"/>
    <w:rsid w:val="00E65FF7"/>
    <w:rsid w:val="00E840A3"/>
    <w:rsid w:val="00E87D49"/>
    <w:rsid w:val="00E87EB9"/>
    <w:rsid w:val="00E91983"/>
    <w:rsid w:val="00EA6CF1"/>
    <w:rsid w:val="00EA6EEA"/>
    <w:rsid w:val="00EA7C09"/>
    <w:rsid w:val="00EB77D8"/>
    <w:rsid w:val="00EC063D"/>
    <w:rsid w:val="00EC06BA"/>
    <w:rsid w:val="00EC4837"/>
    <w:rsid w:val="00EC495A"/>
    <w:rsid w:val="00EC49EC"/>
    <w:rsid w:val="00EC557D"/>
    <w:rsid w:val="00EC7E38"/>
    <w:rsid w:val="00ED1A98"/>
    <w:rsid w:val="00ED2272"/>
    <w:rsid w:val="00ED3383"/>
    <w:rsid w:val="00ED4E7E"/>
    <w:rsid w:val="00ED6919"/>
    <w:rsid w:val="00EE1E4D"/>
    <w:rsid w:val="00EE4CD8"/>
    <w:rsid w:val="00EE52D6"/>
    <w:rsid w:val="00EF0B34"/>
    <w:rsid w:val="00EF1712"/>
    <w:rsid w:val="00EF2E90"/>
    <w:rsid w:val="00EF6E89"/>
    <w:rsid w:val="00F20CC6"/>
    <w:rsid w:val="00F22B97"/>
    <w:rsid w:val="00F40000"/>
    <w:rsid w:val="00F41058"/>
    <w:rsid w:val="00F416FF"/>
    <w:rsid w:val="00F42297"/>
    <w:rsid w:val="00F4397F"/>
    <w:rsid w:val="00F440C7"/>
    <w:rsid w:val="00F45E4C"/>
    <w:rsid w:val="00F555CB"/>
    <w:rsid w:val="00F558D7"/>
    <w:rsid w:val="00F62411"/>
    <w:rsid w:val="00F63EBB"/>
    <w:rsid w:val="00F67AD0"/>
    <w:rsid w:val="00F71774"/>
    <w:rsid w:val="00F72D93"/>
    <w:rsid w:val="00F74621"/>
    <w:rsid w:val="00F82F52"/>
    <w:rsid w:val="00F848F7"/>
    <w:rsid w:val="00F92E8A"/>
    <w:rsid w:val="00F94CD7"/>
    <w:rsid w:val="00F950B8"/>
    <w:rsid w:val="00FA45BC"/>
    <w:rsid w:val="00FA5A65"/>
    <w:rsid w:val="00FA7740"/>
    <w:rsid w:val="00FB1321"/>
    <w:rsid w:val="00FB41B1"/>
    <w:rsid w:val="00FC01FC"/>
    <w:rsid w:val="00FC7973"/>
    <w:rsid w:val="00FD3DE0"/>
    <w:rsid w:val="00FD4845"/>
    <w:rsid w:val="00FE16B4"/>
    <w:rsid w:val="00FE4F39"/>
    <w:rsid w:val="00FE685A"/>
    <w:rsid w:val="00FF3EC1"/>
    <w:rsid w:val="00FF64BA"/>
    <w:rsid w:val="00FF717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C68F76D"/>
  <w15:docId w15:val="{1E105D52-A958-CE43-9111-BC8CFA2F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ascii="Courier" w:hAnsi="Courie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basedOn w:val="Carpredefinitoparagrafo1"/>
    <w:rPr>
      <w:color w:val="0000FF"/>
      <w:u w:val="single"/>
    </w:rPr>
  </w:style>
  <w:style w:type="character" w:styleId="Enfasicorsivo">
    <w:name w:val="Emphasis"/>
    <w:basedOn w:val="Carpredefinitoparagrafo1"/>
    <w:qFormat/>
    <w:rPr>
      <w:i/>
      <w:iCs/>
    </w:rPr>
  </w:style>
  <w:style w:type="paragraph" w:styleId="Intestazione">
    <w:name w:val="header"/>
    <w:basedOn w:val="Normale"/>
    <w:next w:val="Corpodeltesto1"/>
    <w:pPr>
      <w:tabs>
        <w:tab w:val="center" w:pos="4819"/>
        <w:tab w:val="right" w:pos="9638"/>
      </w:tabs>
    </w:pPr>
  </w:style>
  <w:style w:type="paragraph" w:customStyle="1" w:styleId="Corpodeltesto1">
    <w:name w:val="Corpo del testo1"/>
    <w:basedOn w:val="Normale"/>
    <w:pPr>
      <w:spacing w:after="120"/>
    </w:pPr>
  </w:style>
  <w:style w:type="paragraph" w:styleId="Elenco">
    <w:name w:val="List"/>
    <w:basedOn w:val="Corpodeltesto1"/>
    <w:rPr>
      <w:rFonts w:cs="Tahoma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D61AC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47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47D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C57924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874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57C0FE-4EB3-A843-BF35-DB0930B51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1701</Words>
  <Characters>9698</Characters>
  <Application>Microsoft Office Word</Application>
  <DocSecurity>0</DocSecurity>
  <Lines>80</Lines>
  <Paragraphs>22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Università degli Studi di Trieste</Company>
  <LinksUpToDate>false</LinksUpToDate>
  <CharactersWithSpaces>11377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Zaccarin</dc:creator>
  <cp:keywords/>
  <dc:description/>
  <cp:lastModifiedBy>Tracogna Andrea</cp:lastModifiedBy>
  <cp:revision>40</cp:revision>
  <cp:lastPrinted>2019-12-13T09:34:00Z</cp:lastPrinted>
  <dcterms:created xsi:type="dcterms:W3CDTF">2019-12-10T10:19:00Z</dcterms:created>
  <dcterms:modified xsi:type="dcterms:W3CDTF">2019-12-16T19:48:00Z</dcterms:modified>
</cp:coreProperties>
</file>