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39E1DEC5" w:rsidR="00C57924" w:rsidRPr="00EA6EEA" w:rsidRDefault="00DC52A5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 SETTEMBRE</w:t>
      </w:r>
      <w:r w:rsidR="007523CF">
        <w:rPr>
          <w:rFonts w:asciiTheme="minorHAnsi" w:hAnsiTheme="minorHAnsi" w:cstheme="minorHAnsi"/>
        </w:rPr>
        <w:t xml:space="preserve"> </w:t>
      </w:r>
      <w:r w:rsidR="00151425">
        <w:rPr>
          <w:rFonts w:asciiTheme="minorHAnsi" w:hAnsiTheme="minorHAnsi" w:cstheme="minorHAnsi"/>
        </w:rPr>
        <w:t>2018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TEMPO DISPONIBILE: 60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6309"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&#13;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r w:rsidR="00220DA0">
        <w:rPr>
          <w:rFonts w:asciiTheme="minorHAnsi" w:hAnsiTheme="minorHAnsi" w:cstheme="minorHAnsi"/>
        </w:rPr>
        <w:t>6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6580A4C7" w14:textId="77777777" w:rsid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>IN TAL CASO, NON RISPONDERE ALLE DOMANDE CON L’ASTERISCO (*)</w:t>
      </w:r>
    </w:p>
    <w:p w14:paraId="5C873052" w14:textId="133E4D19" w:rsidR="00CB72B2" w:rsidRP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 xml:space="preserve"> </w:t>
      </w:r>
    </w:p>
    <w:p w14:paraId="0E40AA58" w14:textId="4813D075" w:rsidR="000018A0" w:rsidRPr="00417BEE" w:rsidRDefault="00C17F23" w:rsidP="00417B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r>
        <w:rPr>
          <w:rFonts w:asciiTheme="minorHAnsi" w:hAnsiTheme="minorHAnsi" w:cstheme="minorHAnsi"/>
        </w:rPr>
        <w:t xml:space="preserve">Un punto per ogni risposta esatta, un punto </w:t>
      </w:r>
      <w:r w:rsidR="00F71774">
        <w:rPr>
          <w:rFonts w:asciiTheme="minorHAnsi" w:hAnsiTheme="minorHAnsi" w:cstheme="minorHAnsi"/>
        </w:rPr>
        <w:t xml:space="preserve">di </w:t>
      </w:r>
      <w:r w:rsidR="00F71774" w:rsidRPr="00F71774">
        <w:rPr>
          <w:rFonts w:asciiTheme="minorHAnsi" w:hAnsiTheme="minorHAnsi" w:cstheme="minorHAnsi"/>
          <w:b/>
        </w:rPr>
        <w:t>penalizzazione</w:t>
      </w:r>
      <w:r>
        <w:rPr>
          <w:rFonts w:asciiTheme="minorHAnsi" w:hAnsiTheme="minorHAnsi" w:cstheme="minorHAnsi"/>
        </w:rPr>
        <w:t xml:space="preserve"> per ogni risposta sbagliata. Nessun punto per ogni risposta non data. NO MATITA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0B55D6" w:rsidRPr="00BF3750" w14:paraId="68C03629" w14:textId="77777777" w:rsidTr="00417BEE">
        <w:tc>
          <w:tcPr>
            <w:tcW w:w="5098" w:type="dxa"/>
          </w:tcPr>
          <w:p w14:paraId="121C0953" w14:textId="77777777" w:rsidR="000B55D6" w:rsidRDefault="000B55D6" w:rsidP="008E7523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Anno 0 - Il capitale investito è 10.000.000 di euro, con un rapporto Debito/Equity pari a 9. Il costo del Debito è 6%. Il costo dell’Equity è 10%. La redditività operativa è 6% sul capitale investito.</w:t>
            </w:r>
          </w:p>
          <w:p w14:paraId="589E7A29" w14:textId="7A3581AA" w:rsidR="000B55D6" w:rsidRPr="00BF3750" w:rsidRDefault="001A317E" w:rsidP="008E7523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Anno 1 - L’impresa fa un </w:t>
            </w:r>
            <w:r w:rsidR="000B55D6">
              <w:rPr>
                <w:rFonts w:asciiTheme="minorHAnsi" w:hAnsiTheme="minorHAnsi" w:cstheme="minorHAnsi"/>
                <w:sz w:val="16"/>
              </w:rPr>
              <w:t xml:space="preserve">aumento di capitale proprio (Equity) per 5.000.000 euro </w:t>
            </w:r>
            <w:r w:rsidR="000B55D6" w:rsidRPr="00BF3750">
              <w:rPr>
                <w:rFonts w:asciiTheme="minorHAnsi" w:hAnsiTheme="minorHAnsi" w:cstheme="minorHAnsi"/>
                <w:sz w:val="16"/>
              </w:rPr>
              <w:t xml:space="preserve">per </w:t>
            </w:r>
            <w:r w:rsidR="000B55D6">
              <w:rPr>
                <w:rFonts w:asciiTheme="minorHAnsi" w:hAnsiTheme="minorHAnsi" w:cstheme="minorHAnsi"/>
                <w:sz w:val="16"/>
              </w:rPr>
              <w:t>estinguere un prestito obbligazionario di pari importo – lasciando inalterata la redditività operativa,</w:t>
            </w:r>
            <w:r w:rsidR="000B55D6"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0B55D6">
              <w:rPr>
                <w:rFonts w:asciiTheme="minorHAnsi" w:hAnsiTheme="minorHAnsi" w:cstheme="minorHAnsi"/>
                <w:sz w:val="16"/>
              </w:rPr>
              <w:t xml:space="preserve">il capitale investito, </w:t>
            </w:r>
            <w:r w:rsidR="000B55D6" w:rsidRPr="00BF3750">
              <w:rPr>
                <w:rFonts w:asciiTheme="minorHAnsi" w:hAnsiTheme="minorHAnsi" w:cstheme="minorHAnsi"/>
                <w:sz w:val="16"/>
              </w:rPr>
              <w:t>il costo de</w:t>
            </w:r>
            <w:r w:rsidR="000B55D6">
              <w:rPr>
                <w:rFonts w:asciiTheme="minorHAnsi" w:hAnsiTheme="minorHAnsi" w:cstheme="minorHAnsi"/>
                <w:sz w:val="16"/>
              </w:rPr>
              <w:t xml:space="preserve">ll’equity e il costo del debito. </w:t>
            </w:r>
          </w:p>
        </w:tc>
        <w:tc>
          <w:tcPr>
            <w:tcW w:w="4933" w:type="dxa"/>
          </w:tcPr>
          <w:p w14:paraId="52C15BE6" w14:textId="77777777" w:rsidR="000B55D6" w:rsidRDefault="000B55D6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5EEF5AB3" w14:textId="7B981320" w:rsidR="000B55D6" w:rsidRDefault="00BA55D9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 WACC dell’anno 0 è 6,4%</w:t>
            </w:r>
            <w:r w:rsidR="000B55D6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1F775E32" w14:textId="77777777" w:rsidR="000B55D6" w:rsidRDefault="000B55D6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41655D7C" w14:textId="31EAEF5F" w:rsidR="000B55D6" w:rsidRPr="00BF3750" w:rsidRDefault="000B55D6" w:rsidP="00E65E14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Il reddito residuale per l’anno 1 sarà </w:t>
            </w:r>
            <w:r w:rsidR="00BA55D9">
              <w:rPr>
                <w:rFonts w:asciiTheme="minorHAnsi" w:hAnsiTheme="minorHAnsi" w:cstheme="minorHAnsi"/>
                <w:sz w:val="16"/>
              </w:rPr>
              <w:t>– 240.000</w:t>
            </w:r>
          </w:p>
        </w:tc>
      </w:tr>
      <w:tr w:rsidR="000B55D6" w:rsidRPr="00BF3750" w14:paraId="1E746350" w14:textId="77777777" w:rsidTr="00417BEE">
        <w:trPr>
          <w:trHeight w:val="755"/>
        </w:trPr>
        <w:tc>
          <w:tcPr>
            <w:tcW w:w="5098" w:type="dxa"/>
          </w:tcPr>
          <w:p w14:paraId="30EAB41D" w14:textId="77777777" w:rsidR="000B55D6" w:rsidRPr="00BF3750" w:rsidRDefault="000B55D6" w:rsidP="00AA43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All’attuale livello di vendite, i costi fissi sono </w:t>
            </w:r>
            <w:r>
              <w:rPr>
                <w:rFonts w:asciiTheme="minorHAnsi" w:hAnsiTheme="minorHAnsi" w:cstheme="minorHAnsi"/>
                <w:sz w:val="16"/>
              </w:rPr>
              <w:t xml:space="preserve">un terzo dei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costi </w:t>
            </w:r>
            <w:r>
              <w:rPr>
                <w:rFonts w:asciiTheme="minorHAnsi" w:hAnsiTheme="minorHAnsi" w:cstheme="minorHAnsi"/>
                <w:sz w:val="16"/>
              </w:rPr>
              <w:t>variabili. Il margine di contribuzione è pari a 3 volte i costi fissi.</w:t>
            </w:r>
          </w:p>
        </w:tc>
        <w:tc>
          <w:tcPr>
            <w:tcW w:w="4933" w:type="dxa"/>
          </w:tcPr>
          <w:p w14:paraId="370C819F" w14:textId="77777777" w:rsidR="000B55D6" w:rsidRPr="00BF3750" w:rsidRDefault="000B55D6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Immaginiamo che i volumi di vendita triplichino (cioè aumentino del 200%)</w:t>
            </w:r>
            <w:r w:rsidRPr="00BF3750">
              <w:rPr>
                <w:rFonts w:asciiTheme="minorHAnsi" w:hAnsiTheme="minorHAnsi" w:cstheme="minorHAnsi"/>
                <w:sz w:val="16"/>
              </w:rPr>
              <w:t>:</w:t>
            </w:r>
          </w:p>
          <w:p w14:paraId="75D5765E" w14:textId="1B347026" w:rsidR="000B55D6" w:rsidRPr="00BF3750" w:rsidRDefault="000B55D6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La leva operativa passa a </w:t>
            </w:r>
            <w:r w:rsidR="00BA55D9">
              <w:rPr>
                <w:rFonts w:asciiTheme="minorHAnsi" w:hAnsiTheme="minorHAnsi" w:cstheme="minorHAnsi"/>
                <w:sz w:val="16"/>
              </w:rPr>
              <w:t>9/8</w:t>
            </w:r>
          </w:p>
          <w:p w14:paraId="192AEA8A" w14:textId="0E07EC06" w:rsidR="000B55D6" w:rsidRPr="00BF3750" w:rsidRDefault="000B55D6" w:rsidP="007D23A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L’elasticità dei costi passa a </w:t>
            </w:r>
            <w:r w:rsidR="00BA55D9">
              <w:rPr>
                <w:rFonts w:asciiTheme="minorHAnsi" w:hAnsiTheme="minorHAnsi" w:cstheme="minorHAnsi"/>
                <w:sz w:val="16"/>
              </w:rPr>
              <w:t>0,90</w:t>
            </w:r>
          </w:p>
        </w:tc>
      </w:tr>
      <w:tr w:rsidR="000B55D6" w:rsidRPr="00BF3750" w14:paraId="186CE774" w14:textId="77777777" w:rsidTr="00417BEE">
        <w:trPr>
          <w:trHeight w:val="1061"/>
        </w:trPr>
        <w:tc>
          <w:tcPr>
            <w:tcW w:w="5098" w:type="dxa"/>
          </w:tcPr>
          <w:p w14:paraId="7212A9DC" w14:textId="77777777" w:rsidR="000B55D6" w:rsidRPr="00BF3750" w:rsidRDefault="000B55D6" w:rsidP="009E5452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 debiti dell’impresa sono </w:t>
            </w:r>
            <w:r>
              <w:rPr>
                <w:rFonts w:asciiTheme="minorHAnsi" w:hAnsiTheme="minorHAnsi" w:cstheme="minorHAnsi"/>
                <w:sz w:val="16"/>
              </w:rPr>
              <w:t xml:space="preserve">4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volte l’Equity. Il Profitto è </w:t>
            </w:r>
            <w:r>
              <w:rPr>
                <w:rFonts w:asciiTheme="minorHAnsi" w:hAnsiTheme="minorHAnsi" w:cstheme="minorHAnsi"/>
                <w:sz w:val="16"/>
              </w:rPr>
              <w:t>pari al 5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% del Fatturato. Il ROE </w:t>
            </w:r>
            <w:r>
              <w:rPr>
                <w:rFonts w:asciiTheme="minorHAnsi" w:hAnsiTheme="minorHAnsi" w:cstheme="minorHAnsi"/>
                <w:sz w:val="16"/>
              </w:rPr>
              <w:t xml:space="preserve">annuale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è </w:t>
            </w:r>
            <w:r>
              <w:rPr>
                <w:rFonts w:asciiTheme="minorHAnsi" w:hAnsiTheme="minorHAnsi" w:cstheme="minorHAnsi"/>
                <w:sz w:val="16"/>
              </w:rPr>
              <w:t>pari al 25</w:t>
            </w:r>
            <w:r w:rsidRPr="00BF3750">
              <w:rPr>
                <w:rFonts w:asciiTheme="minorHAnsi" w:hAnsiTheme="minorHAnsi" w:cstheme="minorHAnsi"/>
                <w:sz w:val="16"/>
              </w:rPr>
              <w:t>%</w:t>
            </w:r>
          </w:p>
        </w:tc>
        <w:tc>
          <w:tcPr>
            <w:tcW w:w="4933" w:type="dxa"/>
          </w:tcPr>
          <w:p w14:paraId="510B46CB" w14:textId="66C20E5F" w:rsidR="000B55D6" w:rsidRPr="00BF3750" w:rsidRDefault="000B55D6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La rotazione </w:t>
            </w:r>
            <w:r>
              <w:rPr>
                <w:rFonts w:asciiTheme="minorHAnsi" w:hAnsiTheme="minorHAnsi" w:cstheme="minorHAnsi"/>
                <w:sz w:val="16"/>
              </w:rPr>
              <w:t xml:space="preserve">annua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dell’Attivo è </w:t>
            </w:r>
            <w:r w:rsidR="00BA55D9">
              <w:rPr>
                <w:rFonts w:asciiTheme="minorHAnsi" w:hAnsiTheme="minorHAnsi" w:cstheme="minorHAnsi"/>
                <w:sz w:val="16"/>
              </w:rPr>
              <w:t>1</w:t>
            </w:r>
          </w:p>
          <w:p w14:paraId="38A7CCE9" w14:textId="6152230D" w:rsidR="000B55D6" w:rsidRPr="00BF3750" w:rsidRDefault="000B55D6" w:rsidP="00766E03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Per portare il ROE al nuovo valore obiettivo del 30% l’impresa intende modificare il rapporto di indebitamento, lasciando invariati gli altri parametri. In tal caso, i debiti devono diventare pari a </w:t>
            </w:r>
            <w:r w:rsidR="00BA55D9">
              <w:rPr>
                <w:rFonts w:asciiTheme="minorHAnsi" w:hAnsiTheme="minorHAnsi" w:cstheme="minorHAnsi"/>
                <w:sz w:val="16"/>
              </w:rPr>
              <w:t>5</w:t>
            </w:r>
            <w:r>
              <w:rPr>
                <w:rFonts w:asciiTheme="minorHAnsi" w:hAnsiTheme="minorHAnsi" w:cstheme="minorHAnsi"/>
                <w:sz w:val="16"/>
              </w:rPr>
              <w:t xml:space="preserve"> volte l’Equity, a parità di altri fattori.</w:t>
            </w:r>
          </w:p>
        </w:tc>
      </w:tr>
      <w:tr w:rsidR="000B55D6" w:rsidRPr="00BF3750" w14:paraId="3577B540" w14:textId="77777777" w:rsidTr="00417BEE">
        <w:trPr>
          <w:trHeight w:val="962"/>
        </w:trPr>
        <w:tc>
          <w:tcPr>
            <w:tcW w:w="5098" w:type="dxa"/>
          </w:tcPr>
          <w:p w14:paraId="24F81AB2" w14:textId="77777777" w:rsidR="000B55D6" w:rsidRPr="00BF3750" w:rsidRDefault="000B55D6" w:rsidP="00A4220E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Il ciclo economico (stimato con la durata delle scorte totali: Scorte Totali/Costo del Vendu</w:t>
            </w:r>
            <w:r>
              <w:rPr>
                <w:rFonts w:asciiTheme="minorHAnsi" w:hAnsiTheme="minorHAnsi" w:cstheme="minorHAnsi"/>
                <w:sz w:val="16"/>
              </w:rPr>
              <w:t>to) è pari a 40 giorni, mentre il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ciclo monetario</w:t>
            </w:r>
            <w:r>
              <w:rPr>
                <w:rFonts w:asciiTheme="minorHAnsi" w:hAnsiTheme="minorHAnsi" w:cstheme="minorHAnsi"/>
                <w:sz w:val="16"/>
              </w:rPr>
              <w:t xml:space="preserve"> è negativo (20 giorni)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. I </w:t>
            </w:r>
            <w:r>
              <w:rPr>
                <w:rFonts w:asciiTheme="minorHAnsi" w:hAnsiTheme="minorHAnsi" w:cstheme="minorHAnsi"/>
                <w:sz w:val="16"/>
              </w:rPr>
              <w:t>debiti verso fornitori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hanno una durata </w:t>
            </w:r>
            <w:r>
              <w:rPr>
                <w:rFonts w:asciiTheme="minorHAnsi" w:hAnsiTheme="minorHAnsi" w:cstheme="minorHAnsi"/>
                <w:sz w:val="16"/>
              </w:rPr>
              <w:t>doppia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di quella dei </w:t>
            </w:r>
            <w:r>
              <w:rPr>
                <w:rFonts w:asciiTheme="minorHAnsi" w:hAnsiTheme="minorHAnsi" w:cstheme="minorHAnsi"/>
                <w:sz w:val="16"/>
              </w:rPr>
              <w:t>crediti verso clienti</w:t>
            </w:r>
            <w:r w:rsidRPr="00BF3750">
              <w:rPr>
                <w:rFonts w:asciiTheme="minorHAnsi" w:hAnsiTheme="minorHAnsi" w:cstheme="minorHAnsi"/>
                <w:sz w:val="16"/>
              </w:rPr>
              <w:t>. Anno = 360</w:t>
            </w:r>
          </w:p>
        </w:tc>
        <w:tc>
          <w:tcPr>
            <w:tcW w:w="4933" w:type="dxa"/>
          </w:tcPr>
          <w:p w14:paraId="5D24D210" w14:textId="77777777" w:rsidR="000B55D6" w:rsidRDefault="000B55D6" w:rsidP="00322009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</w:p>
          <w:p w14:paraId="689BA0E1" w14:textId="4E07A700" w:rsidR="000B55D6" w:rsidRPr="00BF3750" w:rsidRDefault="000B55D6" w:rsidP="00322009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La rotazione annua dei debiti verso fornitori è </w:t>
            </w:r>
            <w:r w:rsidR="00BA55D9">
              <w:rPr>
                <w:rFonts w:asciiTheme="minorHAnsi" w:hAnsiTheme="minorHAnsi" w:cstheme="minorHAnsi"/>
                <w:sz w:val="16"/>
              </w:rPr>
              <w:t>3</w:t>
            </w:r>
          </w:p>
        </w:tc>
      </w:tr>
      <w:tr w:rsidR="000B55D6" w:rsidRPr="00BF3750" w14:paraId="10C80D9C" w14:textId="77777777" w:rsidTr="00417BEE">
        <w:trPr>
          <w:trHeight w:val="1133"/>
        </w:trPr>
        <w:tc>
          <w:tcPr>
            <w:tcW w:w="5098" w:type="dxa"/>
          </w:tcPr>
          <w:p w14:paraId="4C71261A" w14:textId="77777777" w:rsidR="000B55D6" w:rsidRPr="008E7523" w:rsidRDefault="000B55D6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Il costo del debito </w:t>
            </w:r>
            <w:r>
              <w:rPr>
                <w:rFonts w:asciiTheme="minorHAnsi" w:hAnsiTheme="minorHAnsi" w:cstheme="minorHAnsi"/>
                <w:sz w:val="16"/>
              </w:rPr>
              <w:t xml:space="preserve">è 10%.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Il costo dell’equity è </w:t>
            </w:r>
            <w:r>
              <w:rPr>
                <w:rFonts w:asciiTheme="minorHAnsi" w:hAnsiTheme="minorHAnsi" w:cstheme="minorHAnsi"/>
                <w:sz w:val="16"/>
              </w:rPr>
              <w:t>19%. Il WACC è 13</w:t>
            </w:r>
            <w:r w:rsidRPr="00BF3750">
              <w:rPr>
                <w:rFonts w:asciiTheme="minorHAnsi" w:hAnsiTheme="minorHAnsi" w:cstheme="minorHAnsi"/>
                <w:sz w:val="16"/>
              </w:rPr>
              <w:t>%.</w:t>
            </w:r>
          </w:p>
        </w:tc>
        <w:tc>
          <w:tcPr>
            <w:tcW w:w="4933" w:type="dxa"/>
          </w:tcPr>
          <w:p w14:paraId="2BCF82B9" w14:textId="58C88FE2" w:rsidR="000B55D6" w:rsidRDefault="000B55D6" w:rsidP="00417BEE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</w:t>
            </w:r>
            <w:r w:rsidRPr="00BF3750">
              <w:rPr>
                <w:rFonts w:asciiTheme="minorHAnsi" w:hAnsiTheme="minorHAnsi" w:cstheme="minorHAnsi"/>
                <w:sz w:val="16"/>
              </w:rPr>
              <w:t>a leva</w:t>
            </w:r>
            <w:r>
              <w:rPr>
                <w:rFonts w:asciiTheme="minorHAnsi" w:hAnsiTheme="minorHAnsi" w:cstheme="minorHAnsi"/>
                <w:sz w:val="16"/>
              </w:rPr>
              <w:t xml:space="preserve"> finanziaria (Attivo/Equity) è </w:t>
            </w:r>
            <w:r w:rsidR="00BA55D9">
              <w:rPr>
                <w:rFonts w:asciiTheme="minorHAnsi" w:hAnsiTheme="minorHAnsi" w:cstheme="minorHAnsi"/>
                <w:sz w:val="16"/>
              </w:rPr>
              <w:t>3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52D6AD6D" w14:textId="443A5BC6" w:rsidR="000B55D6" w:rsidRPr="00BF3750" w:rsidRDefault="000B55D6" w:rsidP="00A8642C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Per abbassare il WACC </w:t>
            </w:r>
            <w:r w:rsidRPr="00BF3750">
              <w:rPr>
                <w:rFonts w:asciiTheme="minorHAnsi" w:hAnsiTheme="minorHAnsi" w:cstheme="minorHAnsi"/>
                <w:sz w:val="16"/>
              </w:rPr>
              <w:t>a</w:t>
            </w:r>
            <w:r>
              <w:rPr>
                <w:rFonts w:asciiTheme="minorHAnsi" w:hAnsiTheme="minorHAnsi" w:cstheme="minorHAnsi"/>
                <w:sz w:val="16"/>
              </w:rPr>
              <w:t>l 12%, a parità di la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leva</w:t>
            </w:r>
            <w:r>
              <w:rPr>
                <w:rFonts w:asciiTheme="minorHAnsi" w:hAnsiTheme="minorHAnsi" w:cstheme="minorHAnsi"/>
                <w:sz w:val="16"/>
              </w:rPr>
              <w:t xml:space="preserve"> finanziaria (Attivo/Equity), il costo dell’equity va portato </w:t>
            </w:r>
            <w:r w:rsidR="00BA55D9">
              <w:rPr>
                <w:rFonts w:asciiTheme="minorHAnsi" w:hAnsiTheme="minorHAnsi" w:cstheme="minorHAnsi"/>
                <w:sz w:val="16"/>
              </w:rPr>
              <w:t>a 16</w:t>
            </w:r>
            <w:r>
              <w:rPr>
                <w:rFonts w:asciiTheme="minorHAnsi" w:hAnsiTheme="minorHAnsi" w:cstheme="minorHAnsi"/>
                <w:sz w:val="16"/>
              </w:rPr>
              <w:t xml:space="preserve"> %</w:t>
            </w:r>
          </w:p>
        </w:tc>
      </w:tr>
      <w:tr w:rsidR="000B55D6" w:rsidRPr="00BF3750" w14:paraId="7C6E0D3C" w14:textId="77777777" w:rsidTr="00417BEE">
        <w:trPr>
          <w:trHeight w:val="719"/>
        </w:trPr>
        <w:tc>
          <w:tcPr>
            <w:tcW w:w="5098" w:type="dxa"/>
          </w:tcPr>
          <w:p w14:paraId="65BED96F" w14:textId="77777777" w:rsidR="000B55D6" w:rsidRPr="00BF3750" w:rsidRDefault="000B55D6" w:rsidP="003447E7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percentuale di ricarico sui costi variabili è 20</w:t>
            </w:r>
            <w:r w:rsidRPr="00BF3750">
              <w:rPr>
                <w:rFonts w:asciiTheme="minorHAnsi" w:hAnsiTheme="minorHAnsi" w:cstheme="minorHAnsi"/>
                <w:sz w:val="16"/>
              </w:rPr>
              <w:t>%</w:t>
            </w:r>
          </w:p>
          <w:p w14:paraId="65A86744" w14:textId="77777777" w:rsidR="000B55D6" w:rsidRPr="00BF3750" w:rsidRDefault="000B55D6" w:rsidP="00AB625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L’elasticità dei costi </w:t>
            </w:r>
            <w:r>
              <w:rPr>
                <w:rFonts w:asciiTheme="minorHAnsi" w:hAnsiTheme="minorHAnsi" w:cstheme="minorHAnsi"/>
                <w:sz w:val="16"/>
              </w:rPr>
              <w:t xml:space="preserve">(CV/CT)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è </w:t>
            </w:r>
            <w:r>
              <w:rPr>
                <w:rFonts w:asciiTheme="minorHAnsi" w:hAnsiTheme="minorHAnsi" w:cstheme="minorHAnsi"/>
                <w:sz w:val="16"/>
              </w:rPr>
              <w:t>0,90</w:t>
            </w:r>
          </w:p>
        </w:tc>
        <w:tc>
          <w:tcPr>
            <w:tcW w:w="4933" w:type="dxa"/>
          </w:tcPr>
          <w:p w14:paraId="088E83C8" w14:textId="2E89DBB0" w:rsidR="000B55D6" w:rsidRDefault="000B55D6" w:rsidP="0044597B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Il margine di contribuzione è </w:t>
            </w:r>
            <w:r w:rsidR="00BA55D9">
              <w:rPr>
                <w:rFonts w:asciiTheme="minorHAnsi" w:hAnsiTheme="minorHAnsi" w:cstheme="minorHAnsi"/>
                <w:sz w:val="16"/>
              </w:rPr>
              <w:t>1/6</w:t>
            </w:r>
            <w:r>
              <w:rPr>
                <w:rFonts w:asciiTheme="minorHAnsi" w:hAnsiTheme="minorHAnsi" w:cstheme="minorHAnsi"/>
                <w:sz w:val="16"/>
              </w:rPr>
              <w:t xml:space="preserve"> (% o frazione) del fatturato </w:t>
            </w:r>
          </w:p>
          <w:p w14:paraId="5E624E98" w14:textId="70A3BB87" w:rsidR="000B55D6" w:rsidRPr="00BF3750" w:rsidRDefault="000B55D6" w:rsidP="00E65E14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leva dei prezzi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è </w:t>
            </w:r>
            <w:r w:rsidR="00BA55D9">
              <w:rPr>
                <w:rFonts w:asciiTheme="minorHAnsi" w:hAnsiTheme="minorHAnsi" w:cstheme="minorHAnsi"/>
                <w:sz w:val="16"/>
              </w:rPr>
              <w:t>13,5</w:t>
            </w:r>
          </w:p>
        </w:tc>
      </w:tr>
    </w:tbl>
    <w:p w14:paraId="4CAE19E7" w14:textId="77777777" w:rsidR="004B76A9" w:rsidRDefault="004B76A9" w:rsidP="004B76A9">
      <w:pPr>
        <w:pStyle w:val="Paragrafoelenco"/>
        <w:rPr>
          <w:rFonts w:asciiTheme="minorHAnsi" w:hAnsiTheme="minorHAnsi" w:cstheme="minorHAnsi"/>
          <w:sz w:val="18"/>
        </w:rPr>
      </w:pPr>
    </w:p>
    <w:p w14:paraId="6199B707" w14:textId="24F57FE7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lastRenderedPageBreak/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 xml:space="preserve">n punto di </w:t>
      </w:r>
      <w:r w:rsidRPr="00F71774">
        <w:rPr>
          <w:rFonts w:asciiTheme="minorHAnsi" w:hAnsiTheme="minorHAnsi" w:cstheme="minorHAnsi"/>
          <w:b/>
          <w:sz w:val="18"/>
        </w:rPr>
        <w:t>penalizzazione</w:t>
      </w:r>
      <w:r w:rsidRPr="007B5776">
        <w:rPr>
          <w:rFonts w:asciiTheme="minorHAnsi" w:hAnsiTheme="minorHAnsi" w:cstheme="minorHAnsi"/>
          <w:sz w:val="18"/>
        </w:rPr>
        <w:t xml:space="preserve">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 xml:space="preserve">. 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917"/>
        <w:gridCol w:w="365"/>
        <w:gridCol w:w="350"/>
      </w:tblGrid>
      <w:tr w:rsidR="00A12684" w:rsidRPr="00C57924" w14:paraId="518432A1" w14:textId="77777777" w:rsidTr="000C5E34">
        <w:tc>
          <w:tcPr>
            <w:tcW w:w="9781" w:type="dxa"/>
          </w:tcPr>
          <w:p w14:paraId="313A200B" w14:textId="77777777" w:rsidR="00A12684" w:rsidRPr="00151425" w:rsidRDefault="00A12684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" w:type="dxa"/>
          </w:tcPr>
          <w:p w14:paraId="1DEC1DF7" w14:textId="77777777" w:rsidR="00A12684" w:rsidRPr="00C5792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345" w:type="dxa"/>
          </w:tcPr>
          <w:p w14:paraId="064649A7" w14:textId="77777777" w:rsidR="00A12684" w:rsidRPr="00C5792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A12684" w:rsidRPr="00A05B8C" w14:paraId="7EE74047" w14:textId="77777777" w:rsidTr="000C5E34">
        <w:tc>
          <w:tcPr>
            <w:tcW w:w="9781" w:type="dxa"/>
          </w:tcPr>
          <w:p w14:paraId="579735B6" w14:textId="042A5A81" w:rsidR="00A12684" w:rsidRPr="00A05B8C" w:rsidRDefault="00A135A6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</w:t>
            </w:r>
            <w:r w:rsidR="00E65B3D">
              <w:rPr>
                <w:rFonts w:asciiTheme="minorHAnsi" w:hAnsiTheme="minorHAnsi" w:cstheme="minorHAnsi"/>
                <w:sz w:val="18"/>
              </w:rPr>
              <w:t xml:space="preserve">l </w:t>
            </w:r>
            <w:r w:rsidR="00EE4CD8">
              <w:rPr>
                <w:rFonts w:asciiTheme="minorHAnsi" w:hAnsiTheme="minorHAnsi" w:cstheme="minorHAnsi"/>
                <w:sz w:val="18"/>
              </w:rPr>
              <w:t xml:space="preserve">vantaggio competitivo di un’impresa può essere consolidato </w:t>
            </w:r>
            <w:r w:rsidR="00E65B3D">
              <w:rPr>
                <w:rFonts w:asciiTheme="minorHAnsi" w:hAnsiTheme="minorHAnsi" w:cstheme="minorHAnsi"/>
                <w:sz w:val="18"/>
              </w:rPr>
              <w:t>attraverso miglioramenti dell’efficienza</w:t>
            </w:r>
          </w:p>
        </w:tc>
        <w:tc>
          <w:tcPr>
            <w:tcW w:w="360" w:type="dxa"/>
          </w:tcPr>
          <w:p w14:paraId="5EF45E2F" w14:textId="5B5FE5DE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FCE0D76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40073459" w14:textId="77777777" w:rsidTr="000C5E34">
        <w:tc>
          <w:tcPr>
            <w:tcW w:w="9781" w:type="dxa"/>
          </w:tcPr>
          <w:p w14:paraId="0899F0E3" w14:textId="3907660D" w:rsidR="00A12684" w:rsidRPr="00605E01" w:rsidRDefault="00E65B3D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</w:t>
            </w:r>
            <w:r w:rsidR="00A12684">
              <w:rPr>
                <w:rFonts w:asciiTheme="minorHAnsi" w:hAnsiTheme="minorHAnsi" w:cstheme="minorHAnsi"/>
                <w:sz w:val="18"/>
              </w:rPr>
              <w:t xml:space="preserve">accorciamento del ciclo monetario </w:t>
            </w:r>
            <w:r w:rsidR="00A135A6">
              <w:rPr>
                <w:rFonts w:asciiTheme="minorHAnsi" w:hAnsiTheme="minorHAnsi" w:cstheme="minorHAnsi"/>
                <w:sz w:val="18"/>
              </w:rPr>
              <w:t>dovrebbe essere in ogni caso</w:t>
            </w:r>
            <w:r>
              <w:rPr>
                <w:rFonts w:asciiTheme="minorHAnsi" w:hAnsiTheme="minorHAnsi" w:cstheme="minorHAnsi"/>
                <w:sz w:val="18"/>
              </w:rPr>
              <w:t xml:space="preserve"> perseguito</w:t>
            </w:r>
            <w:r w:rsidR="00A135A6">
              <w:rPr>
                <w:rFonts w:asciiTheme="minorHAnsi" w:hAnsiTheme="minorHAnsi" w:cstheme="minorHAnsi"/>
                <w:sz w:val="18"/>
              </w:rPr>
              <w:t>, poiché non genera alcuna conseguenza negativa</w:t>
            </w:r>
          </w:p>
        </w:tc>
        <w:tc>
          <w:tcPr>
            <w:tcW w:w="360" w:type="dxa"/>
          </w:tcPr>
          <w:p w14:paraId="14BAE924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18ED827" w14:textId="090252CA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605E01" w14:paraId="4C0B611F" w14:textId="77777777" w:rsidTr="000C5E34">
        <w:tc>
          <w:tcPr>
            <w:tcW w:w="9781" w:type="dxa"/>
          </w:tcPr>
          <w:p w14:paraId="6F700E8D" w14:textId="06D70B2B" w:rsidR="00A12684" w:rsidRPr="00605E01" w:rsidRDefault="00E65B3D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imprese con percentuali di ricarico più elevate hanno elasticità dei costi più elevate</w:t>
            </w:r>
          </w:p>
        </w:tc>
        <w:tc>
          <w:tcPr>
            <w:tcW w:w="360" w:type="dxa"/>
          </w:tcPr>
          <w:p w14:paraId="38EB175B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2DEBD9B3" w14:textId="392EBA64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C80C94" w14:paraId="012A02B1" w14:textId="77777777" w:rsidTr="000C5E34">
        <w:tc>
          <w:tcPr>
            <w:tcW w:w="9781" w:type="dxa"/>
          </w:tcPr>
          <w:p w14:paraId="6B99CBD5" w14:textId="41E86AB4" w:rsidR="00A12684" w:rsidRPr="00C80C94" w:rsidRDefault="00E65B3D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</w:t>
            </w:r>
            <w:r w:rsidR="00A12684">
              <w:rPr>
                <w:rFonts w:asciiTheme="minorHAnsi" w:hAnsiTheme="minorHAnsi" w:cstheme="minorHAnsi"/>
                <w:sz w:val="18"/>
              </w:rPr>
              <w:t xml:space="preserve"> imprese </w:t>
            </w:r>
            <w:r>
              <w:rPr>
                <w:rFonts w:asciiTheme="minorHAnsi" w:hAnsiTheme="minorHAnsi" w:cstheme="minorHAnsi"/>
                <w:sz w:val="18"/>
              </w:rPr>
              <w:t>nominano gli amministratori indipendenti anche per “controllare” gli amministratori esecutivi</w:t>
            </w:r>
            <w:r w:rsidR="00A12684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062DA7F6" w14:textId="50B17235" w:rsidR="00A12684" w:rsidRPr="00C80C94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0914C54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6A2C479A" w14:textId="77777777" w:rsidTr="000C5E34">
        <w:tc>
          <w:tcPr>
            <w:tcW w:w="9781" w:type="dxa"/>
          </w:tcPr>
          <w:p w14:paraId="43B6016A" w14:textId="6CD8CE08" w:rsidR="00A12684" w:rsidRPr="00A05B8C" w:rsidRDefault="00216001" w:rsidP="00BF6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settore bancario italiano ha una struttura ad elevata concentrazione delle quote di mercato, anche </w:t>
            </w:r>
            <w:r w:rsidR="00A135A6">
              <w:rPr>
                <w:rFonts w:asciiTheme="minorHAnsi" w:hAnsiTheme="minorHAnsi" w:cstheme="minorHAnsi"/>
                <w:sz w:val="18"/>
              </w:rPr>
              <w:t>a seguito delle</w:t>
            </w:r>
            <w:r>
              <w:rPr>
                <w:rFonts w:asciiTheme="minorHAnsi" w:hAnsiTheme="minorHAnsi" w:cstheme="minorHAnsi"/>
                <w:sz w:val="18"/>
              </w:rPr>
              <w:t xml:space="preserve"> rilevanti operazioni di consolidamento </w:t>
            </w:r>
            <w:r w:rsidR="00A135A6">
              <w:rPr>
                <w:rFonts w:asciiTheme="minorHAnsi" w:hAnsiTheme="minorHAnsi" w:cstheme="minorHAnsi"/>
                <w:sz w:val="18"/>
              </w:rPr>
              <w:t xml:space="preserve">degli ultimi decenni </w:t>
            </w:r>
            <w:r>
              <w:rPr>
                <w:rFonts w:asciiTheme="minorHAnsi" w:hAnsiTheme="minorHAnsi" w:cstheme="minorHAnsi"/>
                <w:sz w:val="18"/>
              </w:rPr>
              <w:t>(esempio: Banca Intesa e Istituto Sanpaolo)</w:t>
            </w:r>
          </w:p>
        </w:tc>
        <w:tc>
          <w:tcPr>
            <w:tcW w:w="360" w:type="dxa"/>
          </w:tcPr>
          <w:p w14:paraId="3861136E" w14:textId="427739F7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F3332AE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C80C94" w14:paraId="7626D29F" w14:textId="77777777" w:rsidTr="000C5E34">
        <w:tc>
          <w:tcPr>
            <w:tcW w:w="9781" w:type="dxa"/>
          </w:tcPr>
          <w:p w14:paraId="3FC3CBAB" w14:textId="546507FC" w:rsidR="00A12684" w:rsidRPr="00C80C94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Nelle imprese tedesche </w:t>
            </w:r>
            <w:r w:rsidR="00216001">
              <w:rPr>
                <w:rFonts w:asciiTheme="minorHAnsi" w:hAnsiTheme="minorHAnsi" w:cstheme="minorHAnsi"/>
                <w:sz w:val="18"/>
              </w:rPr>
              <w:t xml:space="preserve">il </w:t>
            </w:r>
            <w:r>
              <w:rPr>
                <w:rFonts w:asciiTheme="minorHAnsi" w:hAnsiTheme="minorHAnsi" w:cstheme="minorHAnsi"/>
                <w:sz w:val="18"/>
              </w:rPr>
              <w:t>consiglio di sorveglianza</w:t>
            </w:r>
            <w:r w:rsidR="00216001">
              <w:rPr>
                <w:rFonts w:asciiTheme="minorHAnsi" w:hAnsiTheme="minorHAnsi" w:cstheme="minorHAnsi"/>
                <w:sz w:val="18"/>
              </w:rPr>
              <w:t xml:space="preserve"> viene nominato dal consiglio di gestione</w:t>
            </w:r>
          </w:p>
        </w:tc>
        <w:tc>
          <w:tcPr>
            <w:tcW w:w="360" w:type="dxa"/>
          </w:tcPr>
          <w:p w14:paraId="5569281A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E344423" w14:textId="72F782FB" w:rsidR="00A12684" w:rsidRPr="00C80C94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C80C94" w14:paraId="6238FF68" w14:textId="77777777" w:rsidTr="000C5E34">
        <w:tc>
          <w:tcPr>
            <w:tcW w:w="9781" w:type="dxa"/>
          </w:tcPr>
          <w:p w14:paraId="4A6B0AC8" w14:textId="12A62B80" w:rsidR="00A12684" w:rsidRPr="00C80C94" w:rsidRDefault="00A135A6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</w:t>
            </w:r>
            <w:r w:rsidR="00A12684">
              <w:rPr>
                <w:rFonts w:asciiTheme="minorHAnsi" w:hAnsiTheme="minorHAnsi" w:cstheme="minorHAnsi"/>
                <w:sz w:val="18"/>
              </w:rPr>
              <w:t xml:space="preserve"> costi di transazione </w:t>
            </w:r>
            <w:r w:rsidR="00216001">
              <w:rPr>
                <w:rFonts w:asciiTheme="minorHAnsi" w:hAnsiTheme="minorHAnsi" w:cstheme="minorHAnsi"/>
                <w:sz w:val="18"/>
              </w:rPr>
              <w:t>possono essere così elevati da portare a situazioni di “fallimento” del mercato</w:t>
            </w:r>
          </w:p>
        </w:tc>
        <w:tc>
          <w:tcPr>
            <w:tcW w:w="360" w:type="dxa"/>
          </w:tcPr>
          <w:p w14:paraId="07897F97" w14:textId="1C68D79D" w:rsidR="00A12684" w:rsidRPr="00C80C94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0F06AAB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78E0AF81" w14:textId="77777777" w:rsidTr="000C5E34">
        <w:tc>
          <w:tcPr>
            <w:tcW w:w="9781" w:type="dxa"/>
          </w:tcPr>
          <w:p w14:paraId="3FAB1817" w14:textId="29D453D0" w:rsidR="00A12684" w:rsidRPr="00605E01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pratiche di revenue management son</w:t>
            </w:r>
            <w:r w:rsidR="00216001">
              <w:rPr>
                <w:rFonts w:asciiTheme="minorHAnsi" w:hAnsiTheme="minorHAnsi" w:cstheme="minorHAnsi"/>
                <w:sz w:val="18"/>
              </w:rPr>
              <w:t xml:space="preserve">o </w:t>
            </w:r>
            <w:r w:rsidR="00A135A6">
              <w:rPr>
                <w:rFonts w:asciiTheme="minorHAnsi" w:hAnsiTheme="minorHAnsi" w:cstheme="minorHAnsi"/>
                <w:sz w:val="18"/>
              </w:rPr>
              <w:t xml:space="preserve">adottate </w:t>
            </w:r>
            <w:r w:rsidR="00216001">
              <w:rPr>
                <w:rFonts w:asciiTheme="minorHAnsi" w:hAnsiTheme="minorHAnsi" w:cstheme="minorHAnsi"/>
                <w:sz w:val="18"/>
              </w:rPr>
              <w:t>soprattutto nei settori con bassi costi marginali di produzione e con capacità produttiva in eccesso</w:t>
            </w:r>
            <w:r w:rsidR="00A135A6">
              <w:rPr>
                <w:rFonts w:asciiTheme="minorHAnsi" w:hAnsiTheme="minorHAnsi" w:cstheme="minorHAnsi"/>
                <w:sz w:val="18"/>
              </w:rPr>
              <w:t xml:space="preserve"> rispetto alla domanda</w:t>
            </w:r>
          </w:p>
        </w:tc>
        <w:tc>
          <w:tcPr>
            <w:tcW w:w="360" w:type="dxa"/>
          </w:tcPr>
          <w:p w14:paraId="21C805FF" w14:textId="7D246265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19AC0BC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0BB014D7" w14:textId="77777777" w:rsidTr="000C5E34">
        <w:tc>
          <w:tcPr>
            <w:tcW w:w="9781" w:type="dxa"/>
          </w:tcPr>
          <w:p w14:paraId="5EB9E571" w14:textId="1B01A191" w:rsidR="00A12684" w:rsidRPr="00605E01" w:rsidRDefault="006F3758" w:rsidP="00A176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Gli accordi di collaborazione tra imprese possono preludere</w:t>
            </w:r>
            <w:r w:rsidR="00A135A6">
              <w:rPr>
                <w:rFonts w:asciiTheme="minorHAnsi" w:hAnsiTheme="minorHAnsi" w:cstheme="minorHAnsi"/>
                <w:sz w:val="18"/>
              </w:rPr>
              <w:t xml:space="preserve"> a vere e proprie fusioni, come dimostra il caso Fiat -</w:t>
            </w:r>
            <w:r>
              <w:rPr>
                <w:rFonts w:asciiTheme="minorHAnsi" w:hAnsiTheme="minorHAnsi" w:cstheme="minorHAnsi"/>
                <w:sz w:val="18"/>
              </w:rPr>
              <w:t xml:space="preserve"> Chrysler</w:t>
            </w:r>
          </w:p>
        </w:tc>
        <w:tc>
          <w:tcPr>
            <w:tcW w:w="360" w:type="dxa"/>
          </w:tcPr>
          <w:p w14:paraId="1CA40A60" w14:textId="77DFBE04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C2ED50C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7C2BB15C" w14:textId="77777777" w:rsidTr="000C5E34">
        <w:tc>
          <w:tcPr>
            <w:tcW w:w="9781" w:type="dxa"/>
          </w:tcPr>
          <w:p w14:paraId="7D1C29A9" w14:textId="233F1134" w:rsidR="00A12684" w:rsidRPr="00605E01" w:rsidRDefault="00A12684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realizzazione di economie di scopo </w:t>
            </w:r>
            <w:r w:rsidR="006F3758">
              <w:rPr>
                <w:rFonts w:asciiTheme="minorHAnsi" w:hAnsiTheme="minorHAnsi" w:cstheme="minorHAnsi"/>
                <w:sz w:val="18"/>
              </w:rPr>
              <w:t xml:space="preserve">si fonda sulla </w:t>
            </w:r>
            <w:r w:rsidR="000E7EE6">
              <w:rPr>
                <w:rFonts w:asciiTheme="minorHAnsi" w:hAnsiTheme="minorHAnsi" w:cstheme="minorHAnsi"/>
                <w:sz w:val="18"/>
              </w:rPr>
              <w:t>valorizzazione di complementarità tra prodotti e/o attività e/o unità di business</w:t>
            </w:r>
            <w:r w:rsidR="00A135A6">
              <w:rPr>
                <w:rFonts w:asciiTheme="minorHAnsi" w:hAnsiTheme="minorHAnsi" w:cstheme="minorHAnsi"/>
                <w:sz w:val="18"/>
              </w:rPr>
              <w:t xml:space="preserve"> della stessa impresa o di imprese diverse</w:t>
            </w:r>
          </w:p>
        </w:tc>
        <w:tc>
          <w:tcPr>
            <w:tcW w:w="360" w:type="dxa"/>
          </w:tcPr>
          <w:p w14:paraId="3C772305" w14:textId="5D898D12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1873C93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815293" w14:paraId="04455F81" w14:textId="77777777" w:rsidTr="000C5E34">
        <w:tc>
          <w:tcPr>
            <w:tcW w:w="9781" w:type="dxa"/>
          </w:tcPr>
          <w:p w14:paraId="33400E15" w14:textId="7F934E66" w:rsidR="00A12684" w:rsidRPr="00815293" w:rsidRDefault="00702FCC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 </w:t>
            </w:r>
            <w:r w:rsidR="00A12684">
              <w:rPr>
                <w:rFonts w:asciiTheme="minorHAnsi" w:hAnsiTheme="minorHAnsi" w:cstheme="minorHAnsi"/>
                <w:sz w:val="18"/>
                <w:szCs w:val="18"/>
              </w:rPr>
              <w:t xml:space="preserve">economie di scala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sono determinate dai rendimenti più che proporzionali di alcuni fattori di produzione al crescere delle quantità prodotte e/o della capacità produttiva</w:t>
            </w:r>
          </w:p>
        </w:tc>
        <w:tc>
          <w:tcPr>
            <w:tcW w:w="360" w:type="dxa"/>
          </w:tcPr>
          <w:p w14:paraId="3B69189E" w14:textId="00F5E1DB" w:rsidR="00A12684" w:rsidRPr="00815293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345" w:type="dxa"/>
          </w:tcPr>
          <w:p w14:paraId="49E228D5" w14:textId="77777777" w:rsidR="00A12684" w:rsidRPr="00815293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2684" w:rsidRPr="00A05B8C" w14:paraId="534A0752" w14:textId="77777777" w:rsidTr="000C5E34">
        <w:tc>
          <w:tcPr>
            <w:tcW w:w="9781" w:type="dxa"/>
          </w:tcPr>
          <w:p w14:paraId="746D8F75" w14:textId="29E5AE30" w:rsidR="00A12684" w:rsidRPr="00A05B8C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presenza di </w:t>
            </w:r>
            <w:r w:rsidR="00702FCC">
              <w:rPr>
                <w:rFonts w:asciiTheme="minorHAnsi" w:hAnsiTheme="minorHAnsi" w:cstheme="minorHAnsi"/>
                <w:sz w:val="18"/>
              </w:rPr>
              <w:t>consiglieri non esecutivi</w:t>
            </w:r>
            <w:r>
              <w:rPr>
                <w:rFonts w:asciiTheme="minorHAnsi" w:hAnsiTheme="minorHAnsi" w:cstheme="minorHAnsi"/>
                <w:sz w:val="18"/>
              </w:rPr>
              <w:t xml:space="preserve"> nel consiglio di amministrazione </w:t>
            </w:r>
            <w:r w:rsidR="00702FCC">
              <w:rPr>
                <w:rFonts w:asciiTheme="minorHAnsi" w:hAnsiTheme="minorHAnsi" w:cstheme="minorHAnsi"/>
                <w:sz w:val="18"/>
              </w:rPr>
              <w:t xml:space="preserve">è obbligatoria per </w:t>
            </w:r>
            <w:r w:rsidR="00A135A6">
              <w:rPr>
                <w:rFonts w:asciiTheme="minorHAnsi" w:hAnsiTheme="minorHAnsi" w:cstheme="minorHAnsi"/>
                <w:sz w:val="18"/>
              </w:rPr>
              <w:t xml:space="preserve">tutte </w:t>
            </w:r>
            <w:r w:rsidR="00702FCC">
              <w:rPr>
                <w:rFonts w:asciiTheme="minorHAnsi" w:hAnsiTheme="minorHAnsi" w:cstheme="minorHAnsi"/>
                <w:sz w:val="18"/>
              </w:rPr>
              <w:t>le società di capitali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2A25732B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79BFEF3E" w14:textId="73E63AC3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C80C94" w14:paraId="3830DE4C" w14:textId="77777777" w:rsidTr="000C5E34">
        <w:tc>
          <w:tcPr>
            <w:tcW w:w="9781" w:type="dxa"/>
          </w:tcPr>
          <w:p w14:paraId="5A07C0E9" w14:textId="40A004CA" w:rsidR="00A12684" w:rsidRPr="00C80C94" w:rsidRDefault="00702FCC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 luglio 2018 la</w:t>
            </w:r>
            <w:r w:rsidR="00A12684">
              <w:rPr>
                <w:rFonts w:asciiTheme="minorHAnsi" w:hAnsiTheme="minorHAnsi" w:cstheme="minorHAnsi"/>
                <w:sz w:val="18"/>
              </w:rPr>
              <w:t xml:space="preserve"> Illycaffè </w:t>
            </w:r>
            <w:r>
              <w:rPr>
                <w:rFonts w:asciiTheme="minorHAnsi" w:hAnsiTheme="minorHAnsi" w:cstheme="minorHAnsi"/>
                <w:sz w:val="18"/>
              </w:rPr>
              <w:t xml:space="preserve">è stata acquisita dal gruppo svizzero Nestlè </w:t>
            </w:r>
          </w:p>
        </w:tc>
        <w:tc>
          <w:tcPr>
            <w:tcW w:w="360" w:type="dxa"/>
          </w:tcPr>
          <w:p w14:paraId="7680889A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C05739B" w14:textId="6269517C" w:rsidR="00A12684" w:rsidRPr="00C80C94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C80C94" w14:paraId="4686D838" w14:textId="77777777" w:rsidTr="000C5E34">
        <w:tc>
          <w:tcPr>
            <w:tcW w:w="9781" w:type="dxa"/>
          </w:tcPr>
          <w:p w14:paraId="45CCCD0B" w14:textId="195AE405" w:rsidR="00A12684" w:rsidRPr="00C80C94" w:rsidRDefault="00A12684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differenziazione di prodotto </w:t>
            </w:r>
            <w:r w:rsidR="00AA18A8">
              <w:rPr>
                <w:rFonts w:asciiTheme="minorHAnsi" w:hAnsiTheme="minorHAnsi" w:cstheme="minorHAnsi"/>
                <w:sz w:val="18"/>
              </w:rPr>
              <w:t xml:space="preserve">può </w:t>
            </w:r>
            <w:r w:rsidR="00216613">
              <w:rPr>
                <w:rFonts w:asciiTheme="minorHAnsi" w:hAnsiTheme="minorHAnsi" w:cstheme="minorHAnsi"/>
                <w:sz w:val="18"/>
              </w:rPr>
              <w:t>realizzarsi agendo sul</w:t>
            </w:r>
            <w:r w:rsidR="00AA18A8">
              <w:rPr>
                <w:rFonts w:asciiTheme="minorHAnsi" w:hAnsiTheme="minorHAnsi" w:cstheme="minorHAnsi"/>
                <w:sz w:val="18"/>
              </w:rPr>
              <w:t xml:space="preserve"> livello dei ser</w:t>
            </w:r>
            <w:r w:rsidR="00A554DB">
              <w:rPr>
                <w:rFonts w:asciiTheme="minorHAnsi" w:hAnsiTheme="minorHAnsi" w:cstheme="minorHAnsi"/>
                <w:sz w:val="18"/>
              </w:rPr>
              <w:t>vizi accessori (es. s</w:t>
            </w:r>
            <w:r w:rsidR="00AA18A8">
              <w:rPr>
                <w:rFonts w:asciiTheme="minorHAnsi" w:hAnsiTheme="minorHAnsi" w:cstheme="minorHAnsi"/>
                <w:sz w:val="18"/>
              </w:rPr>
              <w:t>ervizio di assistenza tecnica post-vendita)</w:t>
            </w:r>
          </w:p>
        </w:tc>
        <w:tc>
          <w:tcPr>
            <w:tcW w:w="360" w:type="dxa"/>
          </w:tcPr>
          <w:p w14:paraId="5CE30B1E" w14:textId="7D67F728" w:rsidR="00A12684" w:rsidRPr="00C80C94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D2E5BDD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1E759A" w14:paraId="47205AD5" w14:textId="77777777" w:rsidTr="000C5E34">
        <w:tc>
          <w:tcPr>
            <w:tcW w:w="9781" w:type="dxa"/>
          </w:tcPr>
          <w:p w14:paraId="3E21B941" w14:textId="2A58FA31" w:rsidR="00A12684" w:rsidRPr="00C80C94" w:rsidRDefault="00A12684" w:rsidP="0079533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delocalizzazione produttiva è</w:t>
            </w:r>
            <w:r w:rsidR="00216613">
              <w:rPr>
                <w:rFonts w:asciiTheme="minorHAnsi" w:hAnsiTheme="minorHAnsi" w:cstheme="minorHAnsi"/>
                <w:sz w:val="18"/>
              </w:rPr>
              <w:t xml:space="preserve"> inadatta al</w:t>
            </w:r>
            <w:r w:rsidR="00AA18A8">
              <w:rPr>
                <w:rFonts w:asciiTheme="minorHAnsi" w:hAnsiTheme="minorHAnsi" w:cstheme="minorHAnsi"/>
                <w:sz w:val="18"/>
              </w:rPr>
              <w:t>le imprese europee</w:t>
            </w:r>
          </w:p>
        </w:tc>
        <w:tc>
          <w:tcPr>
            <w:tcW w:w="360" w:type="dxa"/>
          </w:tcPr>
          <w:p w14:paraId="2ECCD572" w14:textId="77777777" w:rsidR="00A12684" w:rsidRPr="00890A6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0325404C" w14:textId="1881B611" w:rsidR="00A12684" w:rsidRPr="00890A64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605E01" w14:paraId="3C604E9E" w14:textId="77777777" w:rsidTr="000C5E34">
        <w:tc>
          <w:tcPr>
            <w:tcW w:w="9781" w:type="dxa"/>
          </w:tcPr>
          <w:p w14:paraId="3F497233" w14:textId="7CD31571" w:rsidR="00A12684" w:rsidRPr="009C53E4" w:rsidRDefault="00AA18A8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Gli azionisti non possono essere </w:t>
            </w:r>
            <w:r w:rsidR="00216613">
              <w:rPr>
                <w:rFonts w:asciiTheme="minorHAnsi" w:hAnsiTheme="minorHAnsi" w:cstheme="minorHAnsi"/>
                <w:sz w:val="18"/>
              </w:rPr>
              <w:t xml:space="preserve">anche </w:t>
            </w:r>
            <w:r>
              <w:rPr>
                <w:rFonts w:asciiTheme="minorHAnsi" w:hAnsiTheme="minorHAnsi" w:cstheme="minorHAnsi"/>
                <w:sz w:val="18"/>
              </w:rPr>
              <w:t>amministratori</w:t>
            </w:r>
          </w:p>
        </w:tc>
        <w:tc>
          <w:tcPr>
            <w:tcW w:w="360" w:type="dxa"/>
          </w:tcPr>
          <w:p w14:paraId="7FAEF0AE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75544176" w14:textId="43325975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605E01" w14:paraId="49769224" w14:textId="77777777" w:rsidTr="000C5E34">
        <w:tc>
          <w:tcPr>
            <w:tcW w:w="9781" w:type="dxa"/>
          </w:tcPr>
          <w:p w14:paraId="55B4DBE3" w14:textId="6B228E8C" w:rsidR="00A12684" w:rsidRPr="00605E01" w:rsidRDefault="00AA18A8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</w:t>
            </w:r>
            <w:r w:rsidR="00A12684">
              <w:rPr>
                <w:rFonts w:asciiTheme="minorHAnsi" w:hAnsiTheme="minorHAnsi" w:cstheme="minorHAnsi"/>
                <w:sz w:val="18"/>
              </w:rPr>
              <w:t xml:space="preserve"> “costi per servizi” </w:t>
            </w:r>
            <w:r>
              <w:rPr>
                <w:rFonts w:asciiTheme="minorHAnsi" w:hAnsiTheme="minorHAnsi" w:cstheme="minorHAnsi"/>
                <w:sz w:val="18"/>
              </w:rPr>
              <w:t xml:space="preserve">possono essere sia fissi che variabili. Invece, il costo del venduto </w:t>
            </w:r>
            <w:r w:rsidR="00216613">
              <w:rPr>
                <w:rFonts w:asciiTheme="minorHAnsi" w:hAnsiTheme="minorHAnsi" w:cstheme="minorHAnsi"/>
                <w:sz w:val="18"/>
              </w:rPr>
              <w:t>è</w:t>
            </w:r>
            <w:r>
              <w:rPr>
                <w:rFonts w:asciiTheme="minorHAnsi" w:hAnsiTheme="minorHAnsi" w:cstheme="minorHAnsi"/>
                <w:sz w:val="18"/>
              </w:rPr>
              <w:t xml:space="preserve"> solo variabile</w:t>
            </w:r>
            <w:r w:rsidR="00A12684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1664812A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28BBD8BD" w14:textId="7D9EA894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4E71FDCB" w14:textId="77777777" w:rsidTr="000C5E34">
        <w:tc>
          <w:tcPr>
            <w:tcW w:w="9781" w:type="dxa"/>
          </w:tcPr>
          <w:p w14:paraId="64D153DB" w14:textId="4A43001E" w:rsidR="00A12684" w:rsidRPr="00A05B8C" w:rsidRDefault="00216613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prezzo più basso che un’impresa </w:t>
            </w:r>
            <w:r w:rsidR="00AA18A8">
              <w:rPr>
                <w:rFonts w:asciiTheme="minorHAnsi" w:hAnsiTheme="minorHAnsi" w:cstheme="minorHAnsi"/>
                <w:sz w:val="18"/>
              </w:rPr>
              <w:t>possa praticare è quello corrispondente ai costi fissi unitari</w:t>
            </w:r>
            <w:r w:rsidR="00A12684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4D8ADE29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379B06C" w14:textId="4AB6361E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1C0C4C75" w14:textId="77777777" w:rsidTr="000C5E34">
        <w:tc>
          <w:tcPr>
            <w:tcW w:w="9781" w:type="dxa"/>
          </w:tcPr>
          <w:p w14:paraId="0622376E" w14:textId="434D1118" w:rsidR="00A12684" w:rsidRPr="00A05B8C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Imprese con diverse definizioni del business (</w:t>
            </w:r>
            <w:r w:rsidR="00AA18A8">
              <w:rPr>
                <w:rFonts w:asciiTheme="minorHAnsi" w:hAnsiTheme="minorHAnsi" w:cstheme="minorHAnsi"/>
                <w:sz w:val="18"/>
              </w:rPr>
              <w:t xml:space="preserve">secondo il </w:t>
            </w:r>
            <w:r>
              <w:rPr>
                <w:rFonts w:asciiTheme="minorHAnsi" w:hAnsiTheme="minorHAnsi" w:cstheme="minorHAnsi"/>
                <w:sz w:val="18"/>
              </w:rPr>
              <w:t xml:space="preserve">modello di Abell) </w:t>
            </w:r>
            <w:r w:rsidR="00AA18A8">
              <w:rPr>
                <w:rFonts w:asciiTheme="minorHAnsi" w:hAnsiTheme="minorHAnsi" w:cstheme="minorHAnsi"/>
                <w:sz w:val="18"/>
              </w:rPr>
              <w:t xml:space="preserve">fanno </w:t>
            </w:r>
            <w:r w:rsidR="00216613">
              <w:rPr>
                <w:rFonts w:asciiTheme="minorHAnsi" w:hAnsiTheme="minorHAnsi" w:cstheme="minorHAnsi"/>
                <w:sz w:val="18"/>
              </w:rPr>
              <w:t xml:space="preserve">per definizione </w:t>
            </w:r>
            <w:r w:rsidR="00AA18A8">
              <w:rPr>
                <w:rFonts w:asciiTheme="minorHAnsi" w:hAnsiTheme="minorHAnsi" w:cstheme="minorHAnsi"/>
                <w:sz w:val="18"/>
              </w:rPr>
              <w:t>parte di settori diversi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69B532E7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76EADBE" w14:textId="4B46FC95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5157FEA3" w14:textId="77777777" w:rsidTr="000C5E34">
        <w:tc>
          <w:tcPr>
            <w:tcW w:w="9781" w:type="dxa"/>
          </w:tcPr>
          <w:p w14:paraId="1EDDF6B4" w14:textId="18430CCA" w:rsidR="00A12684" w:rsidRPr="00A05B8C" w:rsidRDefault="00A12684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sistema del valore </w:t>
            </w:r>
            <w:r w:rsidR="00AA18A8">
              <w:rPr>
                <w:rFonts w:asciiTheme="minorHAnsi" w:hAnsiTheme="minorHAnsi" w:cstheme="minorHAnsi"/>
                <w:sz w:val="18"/>
              </w:rPr>
              <w:t>comprende i produttori di beni sostitutivi e i potenziali nuovi entranti</w:t>
            </w:r>
          </w:p>
        </w:tc>
        <w:tc>
          <w:tcPr>
            <w:tcW w:w="360" w:type="dxa"/>
          </w:tcPr>
          <w:p w14:paraId="444E14D5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02820720" w14:textId="7D54B83E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7DD548E6" w14:textId="77777777" w:rsidTr="000C5E34">
        <w:tc>
          <w:tcPr>
            <w:tcW w:w="9781" w:type="dxa"/>
          </w:tcPr>
          <w:p w14:paraId="37D08CE8" w14:textId="4701738A" w:rsidR="00A12684" w:rsidRPr="00A05B8C" w:rsidRDefault="00A554DB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In generale, possiamo dire che i</w:t>
            </w:r>
            <w:r w:rsidR="00A12684">
              <w:rPr>
                <w:rFonts w:asciiTheme="minorHAnsi" w:hAnsiTheme="minorHAnsi" w:cstheme="minorHAnsi"/>
                <w:sz w:val="18"/>
              </w:rPr>
              <w:t xml:space="preserve">l grado di concentrazione di un settore è </w:t>
            </w:r>
            <w:r w:rsidR="00AA18A8">
              <w:rPr>
                <w:rFonts w:asciiTheme="minorHAnsi" w:hAnsiTheme="minorHAnsi" w:cstheme="minorHAnsi"/>
                <w:sz w:val="18"/>
              </w:rPr>
              <w:t xml:space="preserve">positivamente correlato con </w:t>
            </w:r>
            <w:r w:rsidR="00216613">
              <w:rPr>
                <w:rFonts w:asciiTheme="minorHAnsi" w:hAnsiTheme="minorHAnsi" w:cstheme="minorHAnsi"/>
                <w:sz w:val="18"/>
              </w:rPr>
              <w:t>le</w:t>
            </w:r>
            <w:r w:rsidR="00AA18A8">
              <w:rPr>
                <w:rFonts w:asciiTheme="minorHAnsi" w:hAnsiTheme="minorHAnsi" w:cstheme="minorHAnsi"/>
                <w:sz w:val="18"/>
              </w:rPr>
              <w:t xml:space="preserve"> economie di scala</w:t>
            </w:r>
          </w:p>
        </w:tc>
        <w:tc>
          <w:tcPr>
            <w:tcW w:w="360" w:type="dxa"/>
          </w:tcPr>
          <w:p w14:paraId="56BA7B05" w14:textId="362D13BE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B0E4762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12590700" w14:textId="77777777" w:rsidTr="000C5E34">
        <w:tc>
          <w:tcPr>
            <w:tcW w:w="9781" w:type="dxa"/>
          </w:tcPr>
          <w:p w14:paraId="7A5A98A3" w14:textId="7885E0D9" w:rsidR="00A12684" w:rsidRPr="00605E01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fatturato per addetto </w:t>
            </w:r>
            <w:r w:rsidR="00891ADC">
              <w:rPr>
                <w:rFonts w:asciiTheme="minorHAnsi" w:hAnsiTheme="minorHAnsi" w:cstheme="minorHAnsi"/>
                <w:sz w:val="18"/>
              </w:rPr>
              <w:t>è più basso nelle piccole imprese e cresce al crescere del grado di integrazione verticale</w:t>
            </w:r>
          </w:p>
        </w:tc>
        <w:tc>
          <w:tcPr>
            <w:tcW w:w="360" w:type="dxa"/>
          </w:tcPr>
          <w:p w14:paraId="009E9370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5E8AEAA8" w14:textId="7A5B252E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33E00C6D" w14:textId="77777777" w:rsidTr="000C5E34">
        <w:tc>
          <w:tcPr>
            <w:tcW w:w="9781" w:type="dxa"/>
          </w:tcPr>
          <w:p w14:paraId="7C6E5361" w14:textId="413BB97C" w:rsidR="00A12684" w:rsidRPr="00A05B8C" w:rsidRDefault="00A12684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fatturato di pareggio </w:t>
            </w:r>
            <w:r w:rsidR="00891ADC">
              <w:rPr>
                <w:rFonts w:asciiTheme="minorHAnsi" w:hAnsiTheme="minorHAnsi" w:cstheme="minorHAnsi"/>
                <w:sz w:val="18"/>
              </w:rPr>
              <w:t>non dipende dalla struttura dei costi, ma solo dai margini di contribuzione</w:t>
            </w:r>
            <w:r w:rsidR="00A554DB">
              <w:rPr>
                <w:rFonts w:asciiTheme="minorHAnsi" w:hAnsiTheme="minorHAnsi" w:cstheme="minorHAnsi"/>
                <w:sz w:val="18"/>
              </w:rPr>
              <w:t xml:space="preserve"> rapportati al prezzo</w:t>
            </w:r>
          </w:p>
        </w:tc>
        <w:tc>
          <w:tcPr>
            <w:tcW w:w="360" w:type="dxa"/>
          </w:tcPr>
          <w:p w14:paraId="2F819BE9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1A47143C" w14:textId="15AE48A7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71BEABDD" w14:textId="77777777" w:rsidTr="000C5E34">
        <w:tc>
          <w:tcPr>
            <w:tcW w:w="9781" w:type="dxa"/>
          </w:tcPr>
          <w:p w14:paraId="35498824" w14:textId="55695C05" w:rsidR="00A12684" w:rsidRPr="00A05B8C" w:rsidRDefault="00A12684" w:rsidP="00FC01F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costo dell’equity </w:t>
            </w:r>
            <w:r w:rsidR="00A078A3">
              <w:rPr>
                <w:rFonts w:asciiTheme="minorHAnsi" w:hAnsiTheme="minorHAnsi" w:cstheme="minorHAnsi"/>
                <w:sz w:val="18"/>
              </w:rPr>
              <w:t xml:space="preserve">dipende anche dal rischio percepito dagli azionisti dell’impresa </w:t>
            </w:r>
          </w:p>
        </w:tc>
        <w:tc>
          <w:tcPr>
            <w:tcW w:w="360" w:type="dxa"/>
          </w:tcPr>
          <w:p w14:paraId="60F89F0C" w14:textId="5A25FAB8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3CFA849F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1A94DF05" w14:textId="77777777" w:rsidTr="000C5E34">
        <w:tc>
          <w:tcPr>
            <w:tcW w:w="9781" w:type="dxa"/>
          </w:tcPr>
          <w:p w14:paraId="3AD430E6" w14:textId="21FFEBED" w:rsidR="00A12684" w:rsidRPr="00605E01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produttori di beni sostitutivi </w:t>
            </w:r>
            <w:r w:rsidR="00970D30">
              <w:rPr>
                <w:rFonts w:asciiTheme="minorHAnsi" w:hAnsiTheme="minorHAnsi" w:cstheme="minorHAnsi"/>
                <w:sz w:val="18"/>
              </w:rPr>
              <w:t>sono una minaccia rilevante nel settore dei personal computer</w:t>
            </w:r>
          </w:p>
        </w:tc>
        <w:tc>
          <w:tcPr>
            <w:tcW w:w="360" w:type="dxa"/>
          </w:tcPr>
          <w:p w14:paraId="7964CBE1" w14:textId="7E104CB1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AEE7F42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35DFBF79" w14:textId="77777777" w:rsidTr="000C5E34">
        <w:tc>
          <w:tcPr>
            <w:tcW w:w="9781" w:type="dxa"/>
          </w:tcPr>
          <w:p w14:paraId="5C3C86B3" w14:textId="7E04523A" w:rsidR="00A12684" w:rsidRPr="00A05B8C" w:rsidRDefault="00A554DB" w:rsidP="00BF6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 percentuale del prezzo di vendita, i </w:t>
            </w:r>
            <w:r w:rsidR="00970D30">
              <w:rPr>
                <w:rFonts w:asciiTheme="minorHAnsi" w:hAnsiTheme="minorHAnsi" w:cstheme="minorHAnsi"/>
                <w:sz w:val="18"/>
              </w:rPr>
              <w:t xml:space="preserve">costi marginali nel settore del trasporto aereo sono </w:t>
            </w:r>
            <w:r w:rsidR="002D5A58">
              <w:rPr>
                <w:rFonts w:asciiTheme="minorHAnsi" w:hAnsiTheme="minorHAnsi" w:cstheme="minorHAnsi"/>
                <w:sz w:val="18"/>
              </w:rPr>
              <w:t>tendenzialmente più bassi che nel settore della distribuzione alimentare al dettaglio</w:t>
            </w:r>
          </w:p>
        </w:tc>
        <w:tc>
          <w:tcPr>
            <w:tcW w:w="360" w:type="dxa"/>
          </w:tcPr>
          <w:p w14:paraId="19087099" w14:textId="525B1910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3D462D0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759C44EB" w14:textId="77777777" w:rsidTr="000C5E34">
        <w:tc>
          <w:tcPr>
            <w:tcW w:w="9781" w:type="dxa"/>
          </w:tcPr>
          <w:p w14:paraId="63C14CD0" w14:textId="5B75DBC6" w:rsidR="00A12684" w:rsidRPr="00605E01" w:rsidRDefault="00A12684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costi di “obsolescenza”</w:t>
            </w:r>
            <w:r w:rsidR="002D5A58">
              <w:rPr>
                <w:rFonts w:asciiTheme="minorHAnsi" w:hAnsiTheme="minorHAnsi" w:cstheme="minorHAnsi"/>
                <w:sz w:val="18"/>
              </w:rPr>
              <w:t xml:space="preserve">, nel settore </w:t>
            </w:r>
            <w:r w:rsidR="00A554DB">
              <w:rPr>
                <w:rFonts w:asciiTheme="minorHAnsi" w:hAnsiTheme="minorHAnsi" w:cstheme="minorHAnsi"/>
                <w:sz w:val="18"/>
              </w:rPr>
              <w:t>dell’elettronica</w:t>
            </w:r>
            <w:r w:rsidR="002D5A58">
              <w:rPr>
                <w:rFonts w:asciiTheme="minorHAnsi" w:hAnsiTheme="minorHAnsi" w:cstheme="minorHAnsi"/>
                <w:sz w:val="18"/>
              </w:rPr>
              <w:t>, dipendono anche dai tassi di innovazione tecnologica</w:t>
            </w:r>
            <w:r w:rsidR="00A554DB">
              <w:rPr>
                <w:rFonts w:asciiTheme="minorHAnsi" w:hAnsiTheme="minorHAnsi" w:cstheme="minorHAnsi"/>
                <w:sz w:val="18"/>
              </w:rPr>
              <w:t xml:space="preserve"> delle imprese concorrenti</w:t>
            </w:r>
          </w:p>
        </w:tc>
        <w:tc>
          <w:tcPr>
            <w:tcW w:w="360" w:type="dxa"/>
          </w:tcPr>
          <w:p w14:paraId="09ACA8D3" w14:textId="0BDD50E9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3FD55149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56A2347C" w14:textId="77777777" w:rsidTr="000C5E34">
        <w:tc>
          <w:tcPr>
            <w:tcW w:w="9781" w:type="dxa"/>
          </w:tcPr>
          <w:p w14:paraId="070CDEB1" w14:textId="01DEE529" w:rsidR="00A12684" w:rsidRPr="00605E01" w:rsidRDefault="00A12684" w:rsidP="00BC3D5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affondati </w:t>
            </w:r>
            <w:r w:rsidR="002D5A58">
              <w:rPr>
                <w:rFonts w:asciiTheme="minorHAnsi" w:hAnsiTheme="minorHAnsi" w:cstheme="minorHAnsi"/>
                <w:sz w:val="18"/>
              </w:rPr>
              <w:t>sono ben esemplificati dagli ammortamenti</w:t>
            </w:r>
          </w:p>
        </w:tc>
        <w:tc>
          <w:tcPr>
            <w:tcW w:w="360" w:type="dxa"/>
          </w:tcPr>
          <w:p w14:paraId="13C7CE65" w14:textId="4475A2CE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345C4F7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4F0ABF0C" w14:textId="77777777" w:rsidTr="000C5E34">
        <w:tc>
          <w:tcPr>
            <w:tcW w:w="9781" w:type="dxa"/>
          </w:tcPr>
          <w:p w14:paraId="27C46386" w14:textId="134A46A3" w:rsidR="00A12684" w:rsidRPr="00605E01" w:rsidRDefault="000C436D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È </w:t>
            </w:r>
            <w:r w:rsidR="00A12684">
              <w:rPr>
                <w:rFonts w:asciiTheme="minorHAnsi" w:hAnsiTheme="minorHAnsi" w:cstheme="minorHAnsi"/>
                <w:sz w:val="18"/>
              </w:rPr>
              <w:t xml:space="preserve">meglio aumentare il ROE attraverso </w:t>
            </w:r>
            <w:r w:rsidR="002D5A58">
              <w:rPr>
                <w:rFonts w:asciiTheme="minorHAnsi" w:hAnsiTheme="minorHAnsi" w:cstheme="minorHAnsi"/>
                <w:sz w:val="18"/>
              </w:rPr>
              <w:t>un aumento delle vendite piuttosto che attraverso un aumento dell’indebitamento, a parità di attivo e di redditività delle vendite</w:t>
            </w:r>
          </w:p>
        </w:tc>
        <w:tc>
          <w:tcPr>
            <w:tcW w:w="360" w:type="dxa"/>
          </w:tcPr>
          <w:p w14:paraId="342AC36D" w14:textId="6FF3A076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67980BD4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16B6FBF5" w14:textId="77777777" w:rsidTr="000C5E34">
        <w:tc>
          <w:tcPr>
            <w:tcW w:w="9781" w:type="dxa"/>
          </w:tcPr>
          <w:p w14:paraId="6A5012F0" w14:textId="756EBB47" w:rsidR="00A12684" w:rsidRPr="00605E01" w:rsidRDefault="00A12684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Date due imprese A e B, con lo stesso profitto e una </w:t>
            </w:r>
            <w:r w:rsidR="00372358">
              <w:rPr>
                <w:rFonts w:asciiTheme="minorHAnsi" w:hAnsiTheme="minorHAnsi" w:cstheme="minorHAnsi"/>
                <w:sz w:val="18"/>
              </w:rPr>
              <w:t>elasticità dei costi</w:t>
            </w:r>
            <w:r>
              <w:rPr>
                <w:rFonts w:asciiTheme="minorHAnsi" w:hAnsiTheme="minorHAnsi" w:cstheme="minorHAnsi"/>
                <w:sz w:val="18"/>
              </w:rPr>
              <w:t xml:space="preserve"> di – rispettivamente – </w:t>
            </w:r>
            <w:r w:rsidR="00372358">
              <w:rPr>
                <w:rFonts w:asciiTheme="minorHAnsi" w:hAnsiTheme="minorHAnsi" w:cstheme="minorHAnsi"/>
                <w:sz w:val="18"/>
              </w:rPr>
              <w:t xml:space="preserve">0,5 </w:t>
            </w:r>
            <w:r>
              <w:rPr>
                <w:rFonts w:asciiTheme="minorHAnsi" w:hAnsiTheme="minorHAnsi" w:cstheme="minorHAnsi"/>
                <w:sz w:val="18"/>
              </w:rPr>
              <w:t xml:space="preserve">e </w:t>
            </w:r>
            <w:r w:rsidR="00372358">
              <w:rPr>
                <w:rFonts w:asciiTheme="minorHAnsi" w:hAnsiTheme="minorHAnsi" w:cstheme="minorHAnsi"/>
                <w:sz w:val="18"/>
              </w:rPr>
              <w:t>0,8</w:t>
            </w:r>
            <w:r>
              <w:rPr>
                <w:rFonts w:asciiTheme="minorHAnsi" w:hAnsiTheme="minorHAnsi" w:cstheme="minorHAnsi"/>
                <w:sz w:val="18"/>
              </w:rPr>
              <w:t xml:space="preserve">, preferiremo sempre l’impresa </w:t>
            </w:r>
            <w:r w:rsidR="00372358">
              <w:rPr>
                <w:rFonts w:asciiTheme="minorHAnsi" w:hAnsiTheme="minorHAnsi" w:cstheme="minorHAnsi"/>
                <w:sz w:val="18"/>
              </w:rPr>
              <w:t>B</w:t>
            </w:r>
          </w:p>
        </w:tc>
        <w:tc>
          <w:tcPr>
            <w:tcW w:w="360" w:type="dxa"/>
          </w:tcPr>
          <w:p w14:paraId="1CF36A64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414532B4" w14:textId="705FB0B9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605E01" w14:paraId="27CD7B98" w14:textId="77777777" w:rsidTr="000C5E34">
        <w:tc>
          <w:tcPr>
            <w:tcW w:w="9781" w:type="dxa"/>
          </w:tcPr>
          <w:p w14:paraId="04ECB44F" w14:textId="7B0746CD" w:rsidR="00A12684" w:rsidRPr="00605E01" w:rsidRDefault="00AC28F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</w:t>
            </w:r>
            <w:r w:rsidR="00A12684">
              <w:rPr>
                <w:rFonts w:asciiTheme="minorHAnsi" w:hAnsiTheme="minorHAnsi" w:cstheme="minorHAnsi"/>
                <w:sz w:val="18"/>
              </w:rPr>
              <w:t>produttività del lavoro</w:t>
            </w:r>
            <w:r>
              <w:rPr>
                <w:rFonts w:asciiTheme="minorHAnsi" w:hAnsiTheme="minorHAnsi" w:cstheme="minorHAnsi"/>
                <w:sz w:val="18"/>
              </w:rPr>
              <w:t xml:space="preserve"> può essere misurata con il valore aggiunto per addetto</w:t>
            </w:r>
          </w:p>
        </w:tc>
        <w:tc>
          <w:tcPr>
            <w:tcW w:w="360" w:type="dxa"/>
          </w:tcPr>
          <w:p w14:paraId="07CDE70F" w14:textId="220B8BBD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125F24F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4C5A0A4C" w14:textId="77777777" w:rsidTr="000C5E34">
        <w:tc>
          <w:tcPr>
            <w:tcW w:w="9781" w:type="dxa"/>
          </w:tcPr>
          <w:p w14:paraId="110B4738" w14:textId="77BCBDCC" w:rsidR="00A12684" w:rsidRPr="00605E01" w:rsidRDefault="00A12684" w:rsidP="00E2761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*Un esempio di integrazione/alleanza </w:t>
            </w:r>
            <w:r w:rsidR="00AF76CE">
              <w:rPr>
                <w:rFonts w:asciiTheme="minorHAnsi" w:hAnsiTheme="minorHAnsi" w:cstheme="minorHAnsi"/>
                <w:sz w:val="18"/>
              </w:rPr>
              <w:t>verticale</w:t>
            </w:r>
            <w:r>
              <w:rPr>
                <w:rFonts w:asciiTheme="minorHAnsi" w:hAnsiTheme="minorHAnsi" w:cstheme="minorHAnsi"/>
                <w:sz w:val="18"/>
              </w:rPr>
              <w:t xml:space="preserve"> tra imprese </w:t>
            </w:r>
            <w:r w:rsidR="00AF76CE">
              <w:rPr>
                <w:rFonts w:asciiTheme="minorHAnsi" w:hAnsiTheme="minorHAnsi" w:cstheme="minorHAnsi"/>
                <w:sz w:val="18"/>
              </w:rPr>
              <w:t>potrebbe essere quella, ipotetica,</w:t>
            </w:r>
            <w:r>
              <w:rPr>
                <w:rFonts w:asciiTheme="minorHAnsi" w:hAnsiTheme="minorHAnsi" w:cstheme="minorHAnsi"/>
                <w:sz w:val="18"/>
              </w:rPr>
              <w:t xml:space="preserve"> tra </w:t>
            </w:r>
            <w:r w:rsidR="00AF76CE">
              <w:rPr>
                <w:rFonts w:asciiTheme="minorHAnsi" w:hAnsiTheme="minorHAnsi" w:cstheme="minorHAnsi"/>
                <w:sz w:val="18"/>
              </w:rPr>
              <w:t>Fincantieri e Microsoft</w:t>
            </w:r>
          </w:p>
        </w:tc>
        <w:tc>
          <w:tcPr>
            <w:tcW w:w="360" w:type="dxa"/>
          </w:tcPr>
          <w:p w14:paraId="78B7FBE1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4546E8B4" w14:textId="2FFCA61B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69BB259F" w14:textId="77777777" w:rsidTr="000C5E34">
        <w:tc>
          <w:tcPr>
            <w:tcW w:w="9781" w:type="dxa"/>
          </w:tcPr>
          <w:p w14:paraId="3549D556" w14:textId="0A99F69B" w:rsidR="00A12684" w:rsidRPr="00A05B8C" w:rsidRDefault="00A12684" w:rsidP="00255D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piccole e medie imprese tendono ad internazionalizzarsi </w:t>
            </w:r>
            <w:r w:rsidR="007F457E">
              <w:rPr>
                <w:rFonts w:asciiTheme="minorHAnsi" w:hAnsiTheme="minorHAnsi" w:cstheme="minorHAnsi"/>
                <w:sz w:val="18"/>
              </w:rPr>
              <w:t>attraverso modalità esportative, prima che con gli investimenti diretti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</w:p>
        </w:tc>
        <w:tc>
          <w:tcPr>
            <w:tcW w:w="360" w:type="dxa"/>
          </w:tcPr>
          <w:p w14:paraId="6C8A01E8" w14:textId="0A7D287D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5780DEE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21717CF6" w14:textId="77777777" w:rsidTr="000C5E34">
        <w:tc>
          <w:tcPr>
            <w:tcW w:w="9781" w:type="dxa"/>
          </w:tcPr>
          <w:p w14:paraId="4B9F2D83" w14:textId="2C2B66F1" w:rsidR="00A12684" w:rsidRPr="00605E01" w:rsidRDefault="00A12684" w:rsidP="00EF2E9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imprese </w:t>
            </w:r>
            <w:r w:rsidR="00420C99">
              <w:rPr>
                <w:rFonts w:asciiTheme="minorHAnsi" w:hAnsiTheme="minorHAnsi" w:cstheme="minorHAnsi"/>
                <w:sz w:val="18"/>
              </w:rPr>
              <w:t xml:space="preserve">di successo non </w:t>
            </w:r>
            <w:r w:rsidR="00A554DB">
              <w:rPr>
                <w:rFonts w:asciiTheme="minorHAnsi" w:hAnsiTheme="minorHAnsi" w:cstheme="minorHAnsi"/>
                <w:sz w:val="18"/>
              </w:rPr>
              <w:t>sono</w:t>
            </w:r>
            <w:r>
              <w:rPr>
                <w:rFonts w:asciiTheme="minorHAnsi" w:hAnsiTheme="minorHAnsi" w:cstheme="minorHAnsi"/>
                <w:sz w:val="18"/>
              </w:rPr>
              <w:t xml:space="preserve"> soggette a mutamento con il trascorrere del tempo, </w:t>
            </w:r>
            <w:r w:rsidR="00420C99">
              <w:rPr>
                <w:rFonts w:asciiTheme="minorHAnsi" w:hAnsiTheme="minorHAnsi" w:cstheme="minorHAnsi"/>
                <w:sz w:val="18"/>
              </w:rPr>
              <w:t xml:space="preserve">né a fasi </w:t>
            </w:r>
            <w:r w:rsidR="00A554DB">
              <w:rPr>
                <w:rFonts w:asciiTheme="minorHAnsi" w:hAnsiTheme="minorHAnsi" w:cstheme="minorHAnsi"/>
                <w:sz w:val="18"/>
              </w:rPr>
              <w:t xml:space="preserve">evolutive </w:t>
            </w:r>
            <w:r w:rsidR="00420C99">
              <w:rPr>
                <w:rFonts w:asciiTheme="minorHAnsi" w:hAnsiTheme="minorHAnsi" w:cstheme="minorHAnsi"/>
                <w:sz w:val="18"/>
              </w:rPr>
              <w:t>definibili “ciclo di vita”</w:t>
            </w:r>
          </w:p>
        </w:tc>
        <w:tc>
          <w:tcPr>
            <w:tcW w:w="360" w:type="dxa"/>
          </w:tcPr>
          <w:p w14:paraId="34A1D1E2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EFD9608" w14:textId="7E86EC3E" w:rsidR="00A12684" w:rsidRPr="00605E01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789EA1BC" w14:textId="77777777" w:rsidTr="000C5E34">
        <w:tc>
          <w:tcPr>
            <w:tcW w:w="9781" w:type="dxa"/>
          </w:tcPr>
          <w:p w14:paraId="19D3AADB" w14:textId="5580EF86" w:rsidR="00A12684" w:rsidRPr="00A05B8C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*La crescita per linee esterne può </w:t>
            </w:r>
            <w:r w:rsidR="00420C99">
              <w:rPr>
                <w:rFonts w:asciiTheme="minorHAnsi" w:hAnsiTheme="minorHAnsi" w:cstheme="minorHAnsi"/>
                <w:sz w:val="18"/>
              </w:rPr>
              <w:t>essere più rapida di quella per linee interne</w:t>
            </w:r>
          </w:p>
        </w:tc>
        <w:tc>
          <w:tcPr>
            <w:tcW w:w="360" w:type="dxa"/>
          </w:tcPr>
          <w:p w14:paraId="684E63F4" w14:textId="19220681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25D8406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7AB5B765" w14:textId="77777777" w:rsidTr="000C5E34">
        <w:tc>
          <w:tcPr>
            <w:tcW w:w="9781" w:type="dxa"/>
          </w:tcPr>
          <w:p w14:paraId="78AF950A" w14:textId="12208A69" w:rsidR="00A12684" w:rsidRPr="00A05B8C" w:rsidRDefault="00A12684" w:rsidP="00895EC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*L’innovazione di prodotto </w:t>
            </w:r>
            <w:r w:rsidR="00092552">
              <w:rPr>
                <w:rFonts w:asciiTheme="minorHAnsi" w:hAnsiTheme="minorHAnsi" w:cstheme="minorHAnsi"/>
                <w:sz w:val="18"/>
              </w:rPr>
              <w:t>può migliorare la competitività dell’impresa, ma a volte ne penalizza l’efficienza</w:t>
            </w:r>
          </w:p>
        </w:tc>
        <w:tc>
          <w:tcPr>
            <w:tcW w:w="360" w:type="dxa"/>
          </w:tcPr>
          <w:p w14:paraId="02F5A8A2" w14:textId="49603FA1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552F60B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5D041E5D" w14:textId="77777777" w:rsidTr="000C5E34">
        <w:tc>
          <w:tcPr>
            <w:tcW w:w="9781" w:type="dxa"/>
          </w:tcPr>
          <w:p w14:paraId="2849A5C3" w14:textId="490089E4" w:rsidR="00A12684" w:rsidRPr="00A05B8C" w:rsidRDefault="00A12684" w:rsidP="00255D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*L’innovazione di processo </w:t>
            </w:r>
            <w:r w:rsidR="00092552">
              <w:rPr>
                <w:rFonts w:asciiTheme="minorHAnsi" w:hAnsiTheme="minorHAnsi" w:cstheme="minorHAnsi"/>
                <w:sz w:val="18"/>
              </w:rPr>
              <w:t>può realizzarsi, ad esempio, con l’acquisto di un nuovo macchinario da utilizzare nella produzione</w:t>
            </w:r>
          </w:p>
        </w:tc>
        <w:tc>
          <w:tcPr>
            <w:tcW w:w="360" w:type="dxa"/>
          </w:tcPr>
          <w:p w14:paraId="2C68FE49" w14:textId="0C75E93F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2F00532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48A1D01F" w14:textId="77777777" w:rsidTr="000C5E34">
        <w:tc>
          <w:tcPr>
            <w:tcW w:w="9781" w:type="dxa"/>
          </w:tcPr>
          <w:p w14:paraId="020DAF67" w14:textId="63E84E2F" w:rsidR="00A12684" w:rsidRPr="00A05B8C" w:rsidRDefault="00A12684" w:rsidP="00DF471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*L’innovazione “aperta” </w:t>
            </w:r>
            <w:r w:rsidR="00092552">
              <w:rPr>
                <w:rFonts w:asciiTheme="minorHAnsi" w:hAnsiTheme="minorHAnsi" w:cstheme="minorHAnsi"/>
                <w:sz w:val="18"/>
              </w:rPr>
              <w:t>genera più brevetti di quella “chiusa”</w:t>
            </w:r>
          </w:p>
        </w:tc>
        <w:tc>
          <w:tcPr>
            <w:tcW w:w="360" w:type="dxa"/>
          </w:tcPr>
          <w:p w14:paraId="620EBF2F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AC953D4" w14:textId="2281BCA0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3FF54C0C" w14:textId="77777777" w:rsidTr="000C5E34">
        <w:tc>
          <w:tcPr>
            <w:tcW w:w="9781" w:type="dxa"/>
          </w:tcPr>
          <w:p w14:paraId="02BA0284" w14:textId="01912017" w:rsidR="00A12684" w:rsidRPr="00A05B8C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</w:t>
            </w:r>
            <w:r w:rsidR="00092552">
              <w:rPr>
                <w:rFonts w:asciiTheme="minorHAnsi" w:hAnsiTheme="minorHAnsi" w:cstheme="minorHAnsi"/>
                <w:sz w:val="18"/>
              </w:rPr>
              <w:t>Secondo l’approccio definito “</w:t>
            </w:r>
            <w:r w:rsidR="000C436D">
              <w:rPr>
                <w:rFonts w:asciiTheme="minorHAnsi" w:hAnsiTheme="minorHAnsi" w:cstheme="minorHAnsi"/>
                <w:sz w:val="18"/>
              </w:rPr>
              <w:t>open innovation</w:t>
            </w:r>
            <w:r w:rsidR="00092552">
              <w:rPr>
                <w:rFonts w:asciiTheme="minorHAnsi" w:hAnsiTheme="minorHAnsi" w:cstheme="minorHAnsi"/>
                <w:sz w:val="18"/>
              </w:rPr>
              <w:t>” l’impresa dovrebbe far svolgere le attività di ricerca e sviluppo in outsourcing</w:t>
            </w:r>
          </w:p>
        </w:tc>
        <w:tc>
          <w:tcPr>
            <w:tcW w:w="360" w:type="dxa"/>
          </w:tcPr>
          <w:p w14:paraId="34FF3FD8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F411CA9" w14:textId="662E1C71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65753BBD" w14:textId="77777777" w:rsidTr="000C5E34">
        <w:tc>
          <w:tcPr>
            <w:tcW w:w="9781" w:type="dxa"/>
          </w:tcPr>
          <w:p w14:paraId="40733B3B" w14:textId="31F9269D" w:rsidR="00A12684" w:rsidRPr="00A05B8C" w:rsidRDefault="00A12684" w:rsidP="00EF2E9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*Il vantaggio da prima mossa</w:t>
            </w:r>
            <w:r w:rsidR="00092552">
              <w:rPr>
                <w:rFonts w:asciiTheme="minorHAnsi" w:hAnsiTheme="minorHAnsi" w:cstheme="minorHAnsi"/>
                <w:sz w:val="18"/>
              </w:rPr>
              <w:t xml:space="preserve"> dell’impresa innovatrice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092552">
              <w:rPr>
                <w:rFonts w:asciiTheme="minorHAnsi" w:hAnsiTheme="minorHAnsi" w:cstheme="minorHAnsi"/>
                <w:sz w:val="18"/>
              </w:rPr>
              <w:t xml:space="preserve">può anche concretizzarsi </w:t>
            </w:r>
            <w:r w:rsidR="00A554DB">
              <w:rPr>
                <w:rFonts w:asciiTheme="minorHAnsi" w:hAnsiTheme="minorHAnsi" w:cstheme="minorHAnsi"/>
                <w:sz w:val="18"/>
              </w:rPr>
              <w:t>sul piano</w:t>
            </w:r>
            <w:r w:rsidR="00092552">
              <w:rPr>
                <w:rFonts w:asciiTheme="minorHAnsi" w:hAnsiTheme="minorHAnsi" w:cstheme="minorHAnsi"/>
                <w:sz w:val="18"/>
              </w:rPr>
              <w:t xml:space="preserve"> dei marchi commerciali</w:t>
            </w:r>
            <w:r w:rsidR="00A554DB">
              <w:rPr>
                <w:rFonts w:asciiTheme="minorHAnsi" w:hAnsiTheme="minorHAnsi" w:cstheme="minorHAnsi"/>
                <w:sz w:val="18"/>
              </w:rPr>
              <w:t xml:space="preserve"> (marchi più noti)</w:t>
            </w:r>
          </w:p>
        </w:tc>
        <w:tc>
          <w:tcPr>
            <w:tcW w:w="360" w:type="dxa"/>
          </w:tcPr>
          <w:p w14:paraId="1FB41C3B" w14:textId="1205FE7C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BABB615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34A086BE" w14:textId="77777777" w:rsidTr="000C5E34">
        <w:tc>
          <w:tcPr>
            <w:tcW w:w="9781" w:type="dxa"/>
          </w:tcPr>
          <w:p w14:paraId="5D81A204" w14:textId="7B3B1078" w:rsidR="00A12684" w:rsidRPr="00A05B8C" w:rsidRDefault="00092552" w:rsidP="00DF471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*L’appartenenza ai </w:t>
            </w:r>
            <w:r w:rsidR="00A12684">
              <w:rPr>
                <w:rFonts w:asciiTheme="minorHAnsi" w:hAnsiTheme="minorHAnsi" w:cstheme="minorHAnsi"/>
                <w:sz w:val="18"/>
              </w:rPr>
              <w:t xml:space="preserve">distretti industriali </w:t>
            </w:r>
            <w:r>
              <w:rPr>
                <w:rFonts w:asciiTheme="minorHAnsi" w:hAnsiTheme="minorHAnsi" w:cstheme="minorHAnsi"/>
                <w:sz w:val="18"/>
              </w:rPr>
              <w:t xml:space="preserve">non è sempre sufficiente a garantire la competitività delle imprese manifatturiere italiane </w:t>
            </w:r>
          </w:p>
        </w:tc>
        <w:tc>
          <w:tcPr>
            <w:tcW w:w="360" w:type="dxa"/>
          </w:tcPr>
          <w:p w14:paraId="513163EB" w14:textId="0B008FF3" w:rsidR="00A12684" w:rsidRPr="00A05B8C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6ED320DC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C80C94" w14:paraId="4A2E836B" w14:textId="77777777" w:rsidTr="000C5E34">
        <w:tc>
          <w:tcPr>
            <w:tcW w:w="9781" w:type="dxa"/>
          </w:tcPr>
          <w:p w14:paraId="0D5DF361" w14:textId="661B7459" w:rsidR="00A12684" w:rsidRPr="00C80C94" w:rsidRDefault="00A12684" w:rsidP="00255D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</w:t>
            </w:r>
            <w:r w:rsidR="00092552">
              <w:rPr>
                <w:rFonts w:asciiTheme="minorHAnsi" w:hAnsiTheme="minorHAnsi" w:cstheme="minorHAnsi"/>
                <w:sz w:val="18"/>
              </w:rPr>
              <w:t>Le</w:t>
            </w:r>
            <w:r>
              <w:rPr>
                <w:rFonts w:asciiTheme="minorHAnsi" w:hAnsiTheme="minorHAnsi" w:cstheme="minorHAnsi"/>
                <w:sz w:val="18"/>
              </w:rPr>
              <w:t xml:space="preserve"> piccole imprese </w:t>
            </w:r>
            <w:r w:rsidR="00092552">
              <w:rPr>
                <w:rFonts w:asciiTheme="minorHAnsi" w:hAnsiTheme="minorHAnsi" w:cstheme="minorHAnsi"/>
                <w:sz w:val="18"/>
              </w:rPr>
              <w:t xml:space="preserve">italiane sono </w:t>
            </w:r>
            <w:r w:rsidR="00A554DB">
              <w:rPr>
                <w:rFonts w:asciiTheme="minorHAnsi" w:hAnsiTheme="minorHAnsi" w:cstheme="minorHAnsi"/>
                <w:sz w:val="18"/>
              </w:rPr>
              <w:t xml:space="preserve">storicamente </w:t>
            </w:r>
            <w:r w:rsidR="00092552">
              <w:rPr>
                <w:rFonts w:asciiTheme="minorHAnsi" w:hAnsiTheme="minorHAnsi" w:cstheme="minorHAnsi"/>
                <w:sz w:val="18"/>
              </w:rPr>
              <w:t>fortemente presenti nei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092552">
              <w:rPr>
                <w:rFonts w:asciiTheme="minorHAnsi" w:hAnsiTheme="minorHAnsi" w:cstheme="minorHAnsi"/>
                <w:sz w:val="18"/>
              </w:rPr>
              <w:t>mercati</w:t>
            </w:r>
            <w:r>
              <w:rPr>
                <w:rFonts w:asciiTheme="minorHAnsi" w:hAnsiTheme="minorHAnsi" w:cstheme="minorHAnsi"/>
                <w:sz w:val="18"/>
              </w:rPr>
              <w:t xml:space="preserve"> emergenti</w:t>
            </w:r>
            <w:r w:rsidR="00092552">
              <w:rPr>
                <w:rFonts w:asciiTheme="minorHAnsi" w:hAnsiTheme="minorHAnsi" w:cstheme="minorHAnsi"/>
                <w:sz w:val="18"/>
              </w:rPr>
              <w:t xml:space="preserve">, dove le loro vendite sono </w:t>
            </w:r>
            <w:r w:rsidR="00A554DB">
              <w:rPr>
                <w:rFonts w:asciiTheme="minorHAnsi" w:hAnsiTheme="minorHAnsi" w:cstheme="minorHAnsi"/>
                <w:sz w:val="18"/>
              </w:rPr>
              <w:t xml:space="preserve">ormai </w:t>
            </w:r>
            <w:r w:rsidR="00092552">
              <w:rPr>
                <w:rFonts w:asciiTheme="minorHAnsi" w:hAnsiTheme="minorHAnsi" w:cstheme="minorHAnsi"/>
                <w:sz w:val="18"/>
              </w:rPr>
              <w:t>superiori a quelle realizzate nei paesi europei</w:t>
            </w:r>
          </w:p>
        </w:tc>
        <w:tc>
          <w:tcPr>
            <w:tcW w:w="360" w:type="dxa"/>
          </w:tcPr>
          <w:p w14:paraId="684E873C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27A6EF13" w14:textId="2F9F19E5" w:rsidR="00A12684" w:rsidRPr="00C80C94" w:rsidRDefault="00B178E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bookmarkStart w:id="0" w:name="_GoBack"/>
            <w:bookmarkEnd w:id="0"/>
          </w:p>
        </w:tc>
      </w:tr>
    </w:tbl>
    <w:p w14:paraId="4E57F683" w14:textId="77777777" w:rsidR="00FB1321" w:rsidRPr="00605E01" w:rsidRDefault="00FB1321" w:rsidP="00534F75">
      <w:pPr>
        <w:rPr>
          <w:rFonts w:asciiTheme="minorHAnsi" w:hAnsiTheme="minorHAnsi" w:cstheme="minorHAnsi"/>
        </w:rPr>
      </w:pPr>
    </w:p>
    <w:sectPr w:rsidR="00FB1321" w:rsidRPr="00605E01" w:rsidSect="000C5E34">
      <w:headerReference w:type="default" r:id="rId8"/>
      <w:footerReference w:type="default" r:id="rId9"/>
      <w:pgSz w:w="11905" w:h="16837"/>
      <w:pgMar w:top="1440" w:right="1080" w:bottom="1440" w:left="1080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ABCD3" w14:textId="77777777" w:rsidR="00DB14B0" w:rsidRDefault="00DB14B0">
      <w:r>
        <w:separator/>
      </w:r>
    </w:p>
  </w:endnote>
  <w:endnote w:type="continuationSeparator" w:id="0">
    <w:p w14:paraId="2E923739" w14:textId="77777777" w:rsidR="00DB14B0" w:rsidRDefault="00DB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80F6B" w14:textId="77777777" w:rsidR="00856DA1" w:rsidRPr="00D61ACD" w:rsidRDefault="00856DA1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F8F27" w14:textId="77777777" w:rsidR="00DB14B0" w:rsidRDefault="00DB14B0">
      <w:r>
        <w:separator/>
      </w:r>
    </w:p>
  </w:footnote>
  <w:footnote w:type="continuationSeparator" w:id="0">
    <w:p w14:paraId="50F3EA18" w14:textId="77777777" w:rsidR="00DB14B0" w:rsidRDefault="00DB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4817" w14:textId="77777777" w:rsidR="00856DA1" w:rsidRDefault="00856DA1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856DA1" w:rsidRDefault="00856DA1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856DA1" w:rsidRPr="009E108E" w:rsidRDefault="00856DA1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856DA1" w:rsidRPr="009E108E" w:rsidRDefault="00856DA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856DA1" w:rsidRPr="009E108E" w:rsidRDefault="00856DA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856DA1" w:rsidRPr="009E108E" w:rsidRDefault="00856DA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856DA1" w:rsidRDefault="00856DA1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4"/>
    <w:rsid w:val="00001240"/>
    <w:rsid w:val="000018A0"/>
    <w:rsid w:val="00001A30"/>
    <w:rsid w:val="00004013"/>
    <w:rsid w:val="00006D42"/>
    <w:rsid w:val="00010D86"/>
    <w:rsid w:val="000120CF"/>
    <w:rsid w:val="00021A68"/>
    <w:rsid w:val="000323BA"/>
    <w:rsid w:val="000353FD"/>
    <w:rsid w:val="00036368"/>
    <w:rsid w:val="000369A2"/>
    <w:rsid w:val="00041E53"/>
    <w:rsid w:val="00042507"/>
    <w:rsid w:val="0004340D"/>
    <w:rsid w:val="00046CA4"/>
    <w:rsid w:val="00053091"/>
    <w:rsid w:val="00055F05"/>
    <w:rsid w:val="000615D9"/>
    <w:rsid w:val="00064685"/>
    <w:rsid w:val="00067A44"/>
    <w:rsid w:val="000719D3"/>
    <w:rsid w:val="00071FA1"/>
    <w:rsid w:val="0007231B"/>
    <w:rsid w:val="0007528D"/>
    <w:rsid w:val="00075F0B"/>
    <w:rsid w:val="00083757"/>
    <w:rsid w:val="00083C3F"/>
    <w:rsid w:val="00083DE1"/>
    <w:rsid w:val="000902E2"/>
    <w:rsid w:val="00092552"/>
    <w:rsid w:val="000931CF"/>
    <w:rsid w:val="00093471"/>
    <w:rsid w:val="00094553"/>
    <w:rsid w:val="00096182"/>
    <w:rsid w:val="00096A96"/>
    <w:rsid w:val="000A4BE0"/>
    <w:rsid w:val="000A5ADE"/>
    <w:rsid w:val="000B244A"/>
    <w:rsid w:val="000B358D"/>
    <w:rsid w:val="000B511D"/>
    <w:rsid w:val="000B55D6"/>
    <w:rsid w:val="000C1B61"/>
    <w:rsid w:val="000C2FB8"/>
    <w:rsid w:val="000C436D"/>
    <w:rsid w:val="000C4DF9"/>
    <w:rsid w:val="000C5E34"/>
    <w:rsid w:val="000D1913"/>
    <w:rsid w:val="000D5E0F"/>
    <w:rsid w:val="000E1D4A"/>
    <w:rsid w:val="000E2BA6"/>
    <w:rsid w:val="000E3438"/>
    <w:rsid w:val="000E3DE7"/>
    <w:rsid w:val="000E722F"/>
    <w:rsid w:val="000E7E32"/>
    <w:rsid w:val="000E7EE6"/>
    <w:rsid w:val="000F14E2"/>
    <w:rsid w:val="00100106"/>
    <w:rsid w:val="00102B94"/>
    <w:rsid w:val="0011352F"/>
    <w:rsid w:val="00113837"/>
    <w:rsid w:val="001174E0"/>
    <w:rsid w:val="00122D29"/>
    <w:rsid w:val="0012409E"/>
    <w:rsid w:val="00133667"/>
    <w:rsid w:val="00137CF3"/>
    <w:rsid w:val="0014273A"/>
    <w:rsid w:val="00151425"/>
    <w:rsid w:val="0015211C"/>
    <w:rsid w:val="001523AE"/>
    <w:rsid w:val="00153A0F"/>
    <w:rsid w:val="00163647"/>
    <w:rsid w:val="00167D50"/>
    <w:rsid w:val="001721E5"/>
    <w:rsid w:val="00173316"/>
    <w:rsid w:val="0017571B"/>
    <w:rsid w:val="0017599A"/>
    <w:rsid w:val="00176E0F"/>
    <w:rsid w:val="001800DC"/>
    <w:rsid w:val="001920DB"/>
    <w:rsid w:val="00197C68"/>
    <w:rsid w:val="001A02E7"/>
    <w:rsid w:val="001A2D68"/>
    <w:rsid w:val="001A317E"/>
    <w:rsid w:val="001A623E"/>
    <w:rsid w:val="001A71FC"/>
    <w:rsid w:val="001B66ED"/>
    <w:rsid w:val="001C6B15"/>
    <w:rsid w:val="001D19D2"/>
    <w:rsid w:val="001D442C"/>
    <w:rsid w:val="001E3157"/>
    <w:rsid w:val="001E4BE5"/>
    <w:rsid w:val="001E759A"/>
    <w:rsid w:val="001F5371"/>
    <w:rsid w:val="001F796D"/>
    <w:rsid w:val="002022AC"/>
    <w:rsid w:val="00202EAC"/>
    <w:rsid w:val="002030C7"/>
    <w:rsid w:val="00204734"/>
    <w:rsid w:val="00204743"/>
    <w:rsid w:val="00216001"/>
    <w:rsid w:val="00216613"/>
    <w:rsid w:val="00217734"/>
    <w:rsid w:val="00217905"/>
    <w:rsid w:val="00220DA0"/>
    <w:rsid w:val="00221224"/>
    <w:rsid w:val="00221617"/>
    <w:rsid w:val="0022501E"/>
    <w:rsid w:val="002275F4"/>
    <w:rsid w:val="00227A25"/>
    <w:rsid w:val="0023414A"/>
    <w:rsid w:val="00236224"/>
    <w:rsid w:val="00241DAB"/>
    <w:rsid w:val="00244B1F"/>
    <w:rsid w:val="00245B7E"/>
    <w:rsid w:val="00247B3E"/>
    <w:rsid w:val="002527F9"/>
    <w:rsid w:val="002533E8"/>
    <w:rsid w:val="00255DA2"/>
    <w:rsid w:val="002622CE"/>
    <w:rsid w:val="0026387E"/>
    <w:rsid w:val="00264C51"/>
    <w:rsid w:val="00265CE9"/>
    <w:rsid w:val="00272228"/>
    <w:rsid w:val="0027232D"/>
    <w:rsid w:val="00276967"/>
    <w:rsid w:val="00277D34"/>
    <w:rsid w:val="00283F6B"/>
    <w:rsid w:val="0028640F"/>
    <w:rsid w:val="00287A0C"/>
    <w:rsid w:val="00291EB6"/>
    <w:rsid w:val="00291F98"/>
    <w:rsid w:val="00296CCB"/>
    <w:rsid w:val="002A0653"/>
    <w:rsid w:val="002A4366"/>
    <w:rsid w:val="002A789A"/>
    <w:rsid w:val="002B22DC"/>
    <w:rsid w:val="002B2B25"/>
    <w:rsid w:val="002C32BE"/>
    <w:rsid w:val="002C51DE"/>
    <w:rsid w:val="002C5E69"/>
    <w:rsid w:val="002C6568"/>
    <w:rsid w:val="002D5A58"/>
    <w:rsid w:val="002E29AF"/>
    <w:rsid w:val="002E5B34"/>
    <w:rsid w:val="002F4AB7"/>
    <w:rsid w:val="002F58C2"/>
    <w:rsid w:val="003006A8"/>
    <w:rsid w:val="00300A98"/>
    <w:rsid w:val="0030167E"/>
    <w:rsid w:val="003026D4"/>
    <w:rsid w:val="00305E5F"/>
    <w:rsid w:val="00311AB8"/>
    <w:rsid w:val="00315162"/>
    <w:rsid w:val="003163CB"/>
    <w:rsid w:val="00317046"/>
    <w:rsid w:val="00317A17"/>
    <w:rsid w:val="00322009"/>
    <w:rsid w:val="003274CC"/>
    <w:rsid w:val="003322DA"/>
    <w:rsid w:val="003349B5"/>
    <w:rsid w:val="00336584"/>
    <w:rsid w:val="003447E7"/>
    <w:rsid w:val="00344F79"/>
    <w:rsid w:val="00345EDC"/>
    <w:rsid w:val="0035104A"/>
    <w:rsid w:val="0035581E"/>
    <w:rsid w:val="0036772F"/>
    <w:rsid w:val="00370A54"/>
    <w:rsid w:val="00370DCC"/>
    <w:rsid w:val="00372358"/>
    <w:rsid w:val="00376156"/>
    <w:rsid w:val="003822DC"/>
    <w:rsid w:val="00383C4B"/>
    <w:rsid w:val="00386B6B"/>
    <w:rsid w:val="00390BDC"/>
    <w:rsid w:val="00391579"/>
    <w:rsid w:val="00393732"/>
    <w:rsid w:val="003A0E9D"/>
    <w:rsid w:val="003A5C44"/>
    <w:rsid w:val="003A7F9F"/>
    <w:rsid w:val="003B0BE4"/>
    <w:rsid w:val="003B0E97"/>
    <w:rsid w:val="003B3A0C"/>
    <w:rsid w:val="003B5537"/>
    <w:rsid w:val="003B6CD7"/>
    <w:rsid w:val="003D23E1"/>
    <w:rsid w:val="003F3EF5"/>
    <w:rsid w:val="004016DF"/>
    <w:rsid w:val="00403C7C"/>
    <w:rsid w:val="00406B1B"/>
    <w:rsid w:val="00412277"/>
    <w:rsid w:val="00417BEE"/>
    <w:rsid w:val="00420C99"/>
    <w:rsid w:val="0042110B"/>
    <w:rsid w:val="004314C4"/>
    <w:rsid w:val="00437832"/>
    <w:rsid w:val="00442D34"/>
    <w:rsid w:val="00443FE9"/>
    <w:rsid w:val="0044597B"/>
    <w:rsid w:val="00446778"/>
    <w:rsid w:val="004477AC"/>
    <w:rsid w:val="00451C95"/>
    <w:rsid w:val="0045253C"/>
    <w:rsid w:val="004538FD"/>
    <w:rsid w:val="004567BB"/>
    <w:rsid w:val="00464970"/>
    <w:rsid w:val="0046752C"/>
    <w:rsid w:val="00473793"/>
    <w:rsid w:val="004752BF"/>
    <w:rsid w:val="004821CB"/>
    <w:rsid w:val="0048220A"/>
    <w:rsid w:val="004877E0"/>
    <w:rsid w:val="00492B07"/>
    <w:rsid w:val="004932E2"/>
    <w:rsid w:val="00494772"/>
    <w:rsid w:val="004A7FE7"/>
    <w:rsid w:val="004B6F9F"/>
    <w:rsid w:val="004B76A9"/>
    <w:rsid w:val="004B7CC8"/>
    <w:rsid w:val="004C7E52"/>
    <w:rsid w:val="004D73C5"/>
    <w:rsid w:val="004D7B74"/>
    <w:rsid w:val="004E347D"/>
    <w:rsid w:val="004E64E0"/>
    <w:rsid w:val="004E7CA0"/>
    <w:rsid w:val="004F0B06"/>
    <w:rsid w:val="005002D3"/>
    <w:rsid w:val="005015C5"/>
    <w:rsid w:val="00510780"/>
    <w:rsid w:val="00514888"/>
    <w:rsid w:val="00520051"/>
    <w:rsid w:val="0052090A"/>
    <w:rsid w:val="0052636C"/>
    <w:rsid w:val="005273D6"/>
    <w:rsid w:val="00534F75"/>
    <w:rsid w:val="00536EC3"/>
    <w:rsid w:val="00541AAF"/>
    <w:rsid w:val="00543B1B"/>
    <w:rsid w:val="00571EFF"/>
    <w:rsid w:val="00585988"/>
    <w:rsid w:val="00596257"/>
    <w:rsid w:val="005970D4"/>
    <w:rsid w:val="005A056B"/>
    <w:rsid w:val="005B076D"/>
    <w:rsid w:val="005B143D"/>
    <w:rsid w:val="005B21E8"/>
    <w:rsid w:val="005B5037"/>
    <w:rsid w:val="005C6DF1"/>
    <w:rsid w:val="005D050D"/>
    <w:rsid w:val="005D16CA"/>
    <w:rsid w:val="005D38CF"/>
    <w:rsid w:val="005D4FE9"/>
    <w:rsid w:val="005D6B18"/>
    <w:rsid w:val="005E2B66"/>
    <w:rsid w:val="005E4805"/>
    <w:rsid w:val="005E4927"/>
    <w:rsid w:val="005F099E"/>
    <w:rsid w:val="005F212D"/>
    <w:rsid w:val="005F55F6"/>
    <w:rsid w:val="005F5A74"/>
    <w:rsid w:val="005F78AA"/>
    <w:rsid w:val="006011CA"/>
    <w:rsid w:val="00602037"/>
    <w:rsid w:val="00605E01"/>
    <w:rsid w:val="00612212"/>
    <w:rsid w:val="0061493B"/>
    <w:rsid w:val="00616273"/>
    <w:rsid w:val="00622E81"/>
    <w:rsid w:val="00625F26"/>
    <w:rsid w:val="00626FCC"/>
    <w:rsid w:val="006275A2"/>
    <w:rsid w:val="00630B87"/>
    <w:rsid w:val="00634314"/>
    <w:rsid w:val="0063441A"/>
    <w:rsid w:val="00641911"/>
    <w:rsid w:val="00641A71"/>
    <w:rsid w:val="006422DC"/>
    <w:rsid w:val="00642C44"/>
    <w:rsid w:val="0064478C"/>
    <w:rsid w:val="00645480"/>
    <w:rsid w:val="00650DEF"/>
    <w:rsid w:val="00652D0A"/>
    <w:rsid w:val="00657242"/>
    <w:rsid w:val="006607C4"/>
    <w:rsid w:val="00660F11"/>
    <w:rsid w:val="00667DD5"/>
    <w:rsid w:val="006716E4"/>
    <w:rsid w:val="00672847"/>
    <w:rsid w:val="00674C1C"/>
    <w:rsid w:val="00676AEC"/>
    <w:rsid w:val="00681014"/>
    <w:rsid w:val="00681319"/>
    <w:rsid w:val="0068406B"/>
    <w:rsid w:val="00686C91"/>
    <w:rsid w:val="0069420C"/>
    <w:rsid w:val="006A0CDB"/>
    <w:rsid w:val="006A1256"/>
    <w:rsid w:val="006A4505"/>
    <w:rsid w:val="006A46F1"/>
    <w:rsid w:val="006A4C5E"/>
    <w:rsid w:val="006A761E"/>
    <w:rsid w:val="006B2D44"/>
    <w:rsid w:val="006C5D4F"/>
    <w:rsid w:val="006C6B37"/>
    <w:rsid w:val="006D26B7"/>
    <w:rsid w:val="006E04EA"/>
    <w:rsid w:val="006E2F4A"/>
    <w:rsid w:val="006F3758"/>
    <w:rsid w:val="006F665E"/>
    <w:rsid w:val="006F741D"/>
    <w:rsid w:val="00700A8D"/>
    <w:rsid w:val="00700FA0"/>
    <w:rsid w:val="00701AB3"/>
    <w:rsid w:val="00702FCC"/>
    <w:rsid w:val="0070315E"/>
    <w:rsid w:val="00703D68"/>
    <w:rsid w:val="007067E9"/>
    <w:rsid w:val="0071206B"/>
    <w:rsid w:val="007135F2"/>
    <w:rsid w:val="0073468A"/>
    <w:rsid w:val="007523CF"/>
    <w:rsid w:val="00752F64"/>
    <w:rsid w:val="00756654"/>
    <w:rsid w:val="00760134"/>
    <w:rsid w:val="007623F6"/>
    <w:rsid w:val="00766E03"/>
    <w:rsid w:val="00771A54"/>
    <w:rsid w:val="007776BB"/>
    <w:rsid w:val="00781CA9"/>
    <w:rsid w:val="0078381E"/>
    <w:rsid w:val="00783DBA"/>
    <w:rsid w:val="007846A0"/>
    <w:rsid w:val="00785A55"/>
    <w:rsid w:val="00787E58"/>
    <w:rsid w:val="0079533E"/>
    <w:rsid w:val="00797BB0"/>
    <w:rsid w:val="007A1CF4"/>
    <w:rsid w:val="007B1098"/>
    <w:rsid w:val="007B2D94"/>
    <w:rsid w:val="007B5776"/>
    <w:rsid w:val="007B64A9"/>
    <w:rsid w:val="007B6B96"/>
    <w:rsid w:val="007C1227"/>
    <w:rsid w:val="007C13D2"/>
    <w:rsid w:val="007C27F1"/>
    <w:rsid w:val="007C6DDA"/>
    <w:rsid w:val="007D23A9"/>
    <w:rsid w:val="007E22CD"/>
    <w:rsid w:val="007E59B3"/>
    <w:rsid w:val="007F08AC"/>
    <w:rsid w:val="007F1D7D"/>
    <w:rsid w:val="007F457E"/>
    <w:rsid w:val="007F4B8D"/>
    <w:rsid w:val="00801C1C"/>
    <w:rsid w:val="00807D7D"/>
    <w:rsid w:val="00811FB5"/>
    <w:rsid w:val="00815293"/>
    <w:rsid w:val="0081647D"/>
    <w:rsid w:val="00826469"/>
    <w:rsid w:val="00826ED0"/>
    <w:rsid w:val="00835863"/>
    <w:rsid w:val="0084265D"/>
    <w:rsid w:val="00843609"/>
    <w:rsid w:val="00843DC9"/>
    <w:rsid w:val="00845952"/>
    <w:rsid w:val="00846D4B"/>
    <w:rsid w:val="00851289"/>
    <w:rsid w:val="0085211B"/>
    <w:rsid w:val="008521BC"/>
    <w:rsid w:val="00854DF1"/>
    <w:rsid w:val="00856390"/>
    <w:rsid w:val="00856DA1"/>
    <w:rsid w:val="00860DBE"/>
    <w:rsid w:val="0086288D"/>
    <w:rsid w:val="00866672"/>
    <w:rsid w:val="008819B3"/>
    <w:rsid w:val="00890A64"/>
    <w:rsid w:val="008913D4"/>
    <w:rsid w:val="00891ADC"/>
    <w:rsid w:val="00892118"/>
    <w:rsid w:val="008943E5"/>
    <w:rsid w:val="00895EC5"/>
    <w:rsid w:val="00896E36"/>
    <w:rsid w:val="008A0473"/>
    <w:rsid w:val="008A3F68"/>
    <w:rsid w:val="008A4C07"/>
    <w:rsid w:val="008A7F78"/>
    <w:rsid w:val="008B26CE"/>
    <w:rsid w:val="008B311B"/>
    <w:rsid w:val="008C5B2F"/>
    <w:rsid w:val="008C64AA"/>
    <w:rsid w:val="008C672B"/>
    <w:rsid w:val="008D0D86"/>
    <w:rsid w:val="008D246B"/>
    <w:rsid w:val="008D54A6"/>
    <w:rsid w:val="008D63E3"/>
    <w:rsid w:val="008D7F81"/>
    <w:rsid w:val="008E1CD8"/>
    <w:rsid w:val="008E2E6C"/>
    <w:rsid w:val="008E3C9A"/>
    <w:rsid w:val="008E45C4"/>
    <w:rsid w:val="008E7523"/>
    <w:rsid w:val="008E7BC2"/>
    <w:rsid w:val="008F0D1B"/>
    <w:rsid w:val="008F1EA0"/>
    <w:rsid w:val="008F3955"/>
    <w:rsid w:val="008F3CA3"/>
    <w:rsid w:val="008F6F84"/>
    <w:rsid w:val="008F7C10"/>
    <w:rsid w:val="0090072D"/>
    <w:rsid w:val="0090792C"/>
    <w:rsid w:val="00912D80"/>
    <w:rsid w:val="00913503"/>
    <w:rsid w:val="00925694"/>
    <w:rsid w:val="00925F70"/>
    <w:rsid w:val="00925F72"/>
    <w:rsid w:val="00933476"/>
    <w:rsid w:val="0093596C"/>
    <w:rsid w:val="009376CF"/>
    <w:rsid w:val="00941B5C"/>
    <w:rsid w:val="0094307D"/>
    <w:rsid w:val="00943C55"/>
    <w:rsid w:val="009452F6"/>
    <w:rsid w:val="00954085"/>
    <w:rsid w:val="009560E2"/>
    <w:rsid w:val="009603EE"/>
    <w:rsid w:val="00960934"/>
    <w:rsid w:val="00960D81"/>
    <w:rsid w:val="00961C2F"/>
    <w:rsid w:val="00964A65"/>
    <w:rsid w:val="00967876"/>
    <w:rsid w:val="00970D30"/>
    <w:rsid w:val="009734A3"/>
    <w:rsid w:val="009807DF"/>
    <w:rsid w:val="009812DE"/>
    <w:rsid w:val="00982DB4"/>
    <w:rsid w:val="00985906"/>
    <w:rsid w:val="009862F1"/>
    <w:rsid w:val="009871E5"/>
    <w:rsid w:val="00993326"/>
    <w:rsid w:val="00993994"/>
    <w:rsid w:val="009A0512"/>
    <w:rsid w:val="009A2C77"/>
    <w:rsid w:val="009A3465"/>
    <w:rsid w:val="009A3C07"/>
    <w:rsid w:val="009A4E62"/>
    <w:rsid w:val="009A548B"/>
    <w:rsid w:val="009A76B3"/>
    <w:rsid w:val="009B1A98"/>
    <w:rsid w:val="009C53E4"/>
    <w:rsid w:val="009D055D"/>
    <w:rsid w:val="009D20BC"/>
    <w:rsid w:val="009E108E"/>
    <w:rsid w:val="009E5396"/>
    <w:rsid w:val="009E5452"/>
    <w:rsid w:val="009E5CD0"/>
    <w:rsid w:val="009E62AD"/>
    <w:rsid w:val="009F61C2"/>
    <w:rsid w:val="00A02AB4"/>
    <w:rsid w:val="00A05B8C"/>
    <w:rsid w:val="00A078A3"/>
    <w:rsid w:val="00A07AB0"/>
    <w:rsid w:val="00A12684"/>
    <w:rsid w:val="00A135A6"/>
    <w:rsid w:val="00A13615"/>
    <w:rsid w:val="00A176D2"/>
    <w:rsid w:val="00A21659"/>
    <w:rsid w:val="00A21704"/>
    <w:rsid w:val="00A25CD7"/>
    <w:rsid w:val="00A30320"/>
    <w:rsid w:val="00A336EE"/>
    <w:rsid w:val="00A348B5"/>
    <w:rsid w:val="00A36BB2"/>
    <w:rsid w:val="00A405C8"/>
    <w:rsid w:val="00A40821"/>
    <w:rsid w:val="00A4220E"/>
    <w:rsid w:val="00A43499"/>
    <w:rsid w:val="00A473E9"/>
    <w:rsid w:val="00A47DE5"/>
    <w:rsid w:val="00A554DB"/>
    <w:rsid w:val="00A57404"/>
    <w:rsid w:val="00A57D20"/>
    <w:rsid w:val="00A602C5"/>
    <w:rsid w:val="00A74EEC"/>
    <w:rsid w:val="00A774DA"/>
    <w:rsid w:val="00A80321"/>
    <w:rsid w:val="00A811EA"/>
    <w:rsid w:val="00A859B0"/>
    <w:rsid w:val="00A8642C"/>
    <w:rsid w:val="00A86FEC"/>
    <w:rsid w:val="00A951EA"/>
    <w:rsid w:val="00AA18A8"/>
    <w:rsid w:val="00AA43FA"/>
    <w:rsid w:val="00AA4A01"/>
    <w:rsid w:val="00AB4637"/>
    <w:rsid w:val="00AB5DD5"/>
    <w:rsid w:val="00AB625A"/>
    <w:rsid w:val="00AB72C1"/>
    <w:rsid w:val="00AC215B"/>
    <w:rsid w:val="00AC277A"/>
    <w:rsid w:val="00AC28F7"/>
    <w:rsid w:val="00AC3CEB"/>
    <w:rsid w:val="00AD1495"/>
    <w:rsid w:val="00AD786E"/>
    <w:rsid w:val="00AE050B"/>
    <w:rsid w:val="00AE08F9"/>
    <w:rsid w:val="00AE093F"/>
    <w:rsid w:val="00AE19FF"/>
    <w:rsid w:val="00AE3023"/>
    <w:rsid w:val="00AE63AB"/>
    <w:rsid w:val="00AE76F6"/>
    <w:rsid w:val="00AF3A88"/>
    <w:rsid w:val="00AF5353"/>
    <w:rsid w:val="00AF76CE"/>
    <w:rsid w:val="00B03767"/>
    <w:rsid w:val="00B04279"/>
    <w:rsid w:val="00B1122F"/>
    <w:rsid w:val="00B1127D"/>
    <w:rsid w:val="00B134B6"/>
    <w:rsid w:val="00B1370D"/>
    <w:rsid w:val="00B178E9"/>
    <w:rsid w:val="00B20353"/>
    <w:rsid w:val="00B203C5"/>
    <w:rsid w:val="00B21EFA"/>
    <w:rsid w:val="00B247A7"/>
    <w:rsid w:val="00B274A1"/>
    <w:rsid w:val="00B31F27"/>
    <w:rsid w:val="00B32EBF"/>
    <w:rsid w:val="00B3396D"/>
    <w:rsid w:val="00B34499"/>
    <w:rsid w:val="00B37D58"/>
    <w:rsid w:val="00B401B8"/>
    <w:rsid w:val="00B4071E"/>
    <w:rsid w:val="00B443B8"/>
    <w:rsid w:val="00B45934"/>
    <w:rsid w:val="00B507E7"/>
    <w:rsid w:val="00B52C7E"/>
    <w:rsid w:val="00B55A03"/>
    <w:rsid w:val="00B55B9C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813D3"/>
    <w:rsid w:val="00B816BD"/>
    <w:rsid w:val="00B853F4"/>
    <w:rsid w:val="00B93642"/>
    <w:rsid w:val="00BA246C"/>
    <w:rsid w:val="00BA289F"/>
    <w:rsid w:val="00BA55D9"/>
    <w:rsid w:val="00BB5703"/>
    <w:rsid w:val="00BB5DE6"/>
    <w:rsid w:val="00BC3D58"/>
    <w:rsid w:val="00BD10EF"/>
    <w:rsid w:val="00BD71F3"/>
    <w:rsid w:val="00BE3B72"/>
    <w:rsid w:val="00BE6B78"/>
    <w:rsid w:val="00BF0885"/>
    <w:rsid w:val="00BF15C3"/>
    <w:rsid w:val="00BF1707"/>
    <w:rsid w:val="00BF3750"/>
    <w:rsid w:val="00BF5372"/>
    <w:rsid w:val="00BF6D4A"/>
    <w:rsid w:val="00BF6D99"/>
    <w:rsid w:val="00C05691"/>
    <w:rsid w:val="00C07E47"/>
    <w:rsid w:val="00C12AC8"/>
    <w:rsid w:val="00C14CD7"/>
    <w:rsid w:val="00C178E1"/>
    <w:rsid w:val="00C17F23"/>
    <w:rsid w:val="00C21275"/>
    <w:rsid w:val="00C21747"/>
    <w:rsid w:val="00C35F66"/>
    <w:rsid w:val="00C37CCC"/>
    <w:rsid w:val="00C40621"/>
    <w:rsid w:val="00C42113"/>
    <w:rsid w:val="00C44F4C"/>
    <w:rsid w:val="00C45710"/>
    <w:rsid w:val="00C46299"/>
    <w:rsid w:val="00C51A2B"/>
    <w:rsid w:val="00C56337"/>
    <w:rsid w:val="00C56960"/>
    <w:rsid w:val="00C57924"/>
    <w:rsid w:val="00C62315"/>
    <w:rsid w:val="00C64015"/>
    <w:rsid w:val="00C70087"/>
    <w:rsid w:val="00C70C6A"/>
    <w:rsid w:val="00C7167B"/>
    <w:rsid w:val="00C74EC9"/>
    <w:rsid w:val="00C77A92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4408"/>
    <w:rsid w:val="00C971D1"/>
    <w:rsid w:val="00CA0E27"/>
    <w:rsid w:val="00CA1C27"/>
    <w:rsid w:val="00CA230B"/>
    <w:rsid w:val="00CA3C00"/>
    <w:rsid w:val="00CB72B2"/>
    <w:rsid w:val="00CC471B"/>
    <w:rsid w:val="00CC4C02"/>
    <w:rsid w:val="00CC6124"/>
    <w:rsid w:val="00CD0E0C"/>
    <w:rsid w:val="00CD7665"/>
    <w:rsid w:val="00CE4E52"/>
    <w:rsid w:val="00CF0BC4"/>
    <w:rsid w:val="00CF49AE"/>
    <w:rsid w:val="00CF6CC6"/>
    <w:rsid w:val="00D05830"/>
    <w:rsid w:val="00D06098"/>
    <w:rsid w:val="00D06137"/>
    <w:rsid w:val="00D126C5"/>
    <w:rsid w:val="00D2087B"/>
    <w:rsid w:val="00D311A6"/>
    <w:rsid w:val="00D33214"/>
    <w:rsid w:val="00D42FF1"/>
    <w:rsid w:val="00D6073A"/>
    <w:rsid w:val="00D619B3"/>
    <w:rsid w:val="00D666C5"/>
    <w:rsid w:val="00D72E95"/>
    <w:rsid w:val="00D73D19"/>
    <w:rsid w:val="00D771CC"/>
    <w:rsid w:val="00D9643B"/>
    <w:rsid w:val="00D977A0"/>
    <w:rsid w:val="00D97A2E"/>
    <w:rsid w:val="00DB14B0"/>
    <w:rsid w:val="00DB3614"/>
    <w:rsid w:val="00DB482B"/>
    <w:rsid w:val="00DB7264"/>
    <w:rsid w:val="00DC0619"/>
    <w:rsid w:val="00DC4114"/>
    <w:rsid w:val="00DC52A5"/>
    <w:rsid w:val="00DC5FDA"/>
    <w:rsid w:val="00DC619C"/>
    <w:rsid w:val="00DD0A53"/>
    <w:rsid w:val="00DD6513"/>
    <w:rsid w:val="00DE3E32"/>
    <w:rsid w:val="00DE4DC8"/>
    <w:rsid w:val="00DF4714"/>
    <w:rsid w:val="00DF50D8"/>
    <w:rsid w:val="00DF7CCD"/>
    <w:rsid w:val="00E06264"/>
    <w:rsid w:val="00E064AC"/>
    <w:rsid w:val="00E14500"/>
    <w:rsid w:val="00E1454B"/>
    <w:rsid w:val="00E15283"/>
    <w:rsid w:val="00E16121"/>
    <w:rsid w:val="00E21500"/>
    <w:rsid w:val="00E23215"/>
    <w:rsid w:val="00E25E07"/>
    <w:rsid w:val="00E26BCF"/>
    <w:rsid w:val="00E27617"/>
    <w:rsid w:val="00E308B3"/>
    <w:rsid w:val="00E31664"/>
    <w:rsid w:val="00E3234E"/>
    <w:rsid w:val="00E338A5"/>
    <w:rsid w:val="00E417E8"/>
    <w:rsid w:val="00E448F3"/>
    <w:rsid w:val="00E44996"/>
    <w:rsid w:val="00E522F3"/>
    <w:rsid w:val="00E533B0"/>
    <w:rsid w:val="00E53CA8"/>
    <w:rsid w:val="00E53E20"/>
    <w:rsid w:val="00E5415C"/>
    <w:rsid w:val="00E5437C"/>
    <w:rsid w:val="00E6437E"/>
    <w:rsid w:val="00E65B3D"/>
    <w:rsid w:val="00E65E14"/>
    <w:rsid w:val="00E65FF7"/>
    <w:rsid w:val="00E840A3"/>
    <w:rsid w:val="00E87D49"/>
    <w:rsid w:val="00E87EB9"/>
    <w:rsid w:val="00E91983"/>
    <w:rsid w:val="00EA6CF1"/>
    <w:rsid w:val="00EA6EEA"/>
    <w:rsid w:val="00EA7C09"/>
    <w:rsid w:val="00EB77D8"/>
    <w:rsid w:val="00EC063D"/>
    <w:rsid w:val="00EC06BA"/>
    <w:rsid w:val="00EC4837"/>
    <w:rsid w:val="00EC495A"/>
    <w:rsid w:val="00EC557D"/>
    <w:rsid w:val="00EC7E38"/>
    <w:rsid w:val="00ED1A98"/>
    <w:rsid w:val="00ED2272"/>
    <w:rsid w:val="00ED4E7E"/>
    <w:rsid w:val="00ED6919"/>
    <w:rsid w:val="00EE1E4D"/>
    <w:rsid w:val="00EE4CD8"/>
    <w:rsid w:val="00EE52D6"/>
    <w:rsid w:val="00EF0B34"/>
    <w:rsid w:val="00EF1712"/>
    <w:rsid w:val="00EF2E90"/>
    <w:rsid w:val="00EF6E89"/>
    <w:rsid w:val="00F20CC6"/>
    <w:rsid w:val="00F40000"/>
    <w:rsid w:val="00F41058"/>
    <w:rsid w:val="00F416FF"/>
    <w:rsid w:val="00F4397F"/>
    <w:rsid w:val="00F440C7"/>
    <w:rsid w:val="00F45E4C"/>
    <w:rsid w:val="00F555CB"/>
    <w:rsid w:val="00F558D7"/>
    <w:rsid w:val="00F62411"/>
    <w:rsid w:val="00F63EBB"/>
    <w:rsid w:val="00F67AD0"/>
    <w:rsid w:val="00F71774"/>
    <w:rsid w:val="00F72D93"/>
    <w:rsid w:val="00F74621"/>
    <w:rsid w:val="00F82F52"/>
    <w:rsid w:val="00F848F7"/>
    <w:rsid w:val="00F950B8"/>
    <w:rsid w:val="00FA45BC"/>
    <w:rsid w:val="00FA5A65"/>
    <w:rsid w:val="00FB1321"/>
    <w:rsid w:val="00FB41B1"/>
    <w:rsid w:val="00FC01FC"/>
    <w:rsid w:val="00FC7973"/>
    <w:rsid w:val="00FD3DE0"/>
    <w:rsid w:val="00FE16B4"/>
    <w:rsid w:val="00FE4F39"/>
    <w:rsid w:val="00FE685A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1E105D52-A958-CE43-9111-BC8CFA2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9FBFAE-E197-AB47-A535-339FA27F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Tracogna Andrea</cp:lastModifiedBy>
  <cp:revision>4</cp:revision>
  <cp:lastPrinted>2017-01-06T10:45:00Z</cp:lastPrinted>
  <dcterms:created xsi:type="dcterms:W3CDTF">2018-09-17T18:58:00Z</dcterms:created>
  <dcterms:modified xsi:type="dcterms:W3CDTF">2018-09-17T19:00:00Z</dcterms:modified>
</cp:coreProperties>
</file>