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B57AB" w14:textId="77777777" w:rsidR="00DE5782" w:rsidRPr="00EC49EC" w:rsidRDefault="00DE5782" w:rsidP="00221D2F">
      <w:pPr>
        <w:rPr>
          <w:rFonts w:asciiTheme="minorHAnsi" w:hAnsiTheme="minorHAnsi" w:cstheme="minorHAnsi"/>
          <w:sz w:val="16"/>
          <w:szCs w:val="16"/>
        </w:rPr>
      </w:pPr>
    </w:p>
    <w:p w14:paraId="5ABD3BDF" w14:textId="77777777" w:rsidR="008674F6" w:rsidRDefault="008674F6" w:rsidP="00221D2F">
      <w:pPr>
        <w:rPr>
          <w:rFonts w:asciiTheme="minorHAnsi" w:hAnsiTheme="minorHAnsi" w:cstheme="minorHAnsi"/>
          <w:sz w:val="16"/>
          <w:szCs w:val="16"/>
        </w:rPr>
      </w:pPr>
    </w:p>
    <w:p w14:paraId="6F51BB2B" w14:textId="5350B85A" w:rsidR="00DE5782" w:rsidRPr="00B049AF" w:rsidRDefault="008F2D0F" w:rsidP="00221D2F">
      <w:pPr>
        <w:rPr>
          <w:rFonts w:asciiTheme="minorHAnsi" w:hAnsiTheme="minorHAnsi" w:cstheme="minorHAnsi"/>
          <w:b/>
          <w:sz w:val="16"/>
          <w:szCs w:val="16"/>
        </w:rPr>
      </w:pPr>
      <w:r w:rsidRPr="00B049AF">
        <w:rPr>
          <w:rFonts w:asciiTheme="minorHAnsi" w:hAnsiTheme="minorHAnsi" w:cstheme="minorHAnsi"/>
          <w:b/>
          <w:sz w:val="16"/>
          <w:szCs w:val="16"/>
        </w:rPr>
        <w:t>PROVA SCRITTA</w:t>
      </w:r>
      <w:r w:rsidR="00221D2F" w:rsidRPr="00B049AF">
        <w:rPr>
          <w:rFonts w:asciiTheme="minorHAnsi" w:hAnsiTheme="minorHAnsi" w:cstheme="minorHAnsi"/>
          <w:b/>
          <w:sz w:val="16"/>
          <w:szCs w:val="16"/>
        </w:rPr>
        <w:t xml:space="preserve"> DI </w:t>
      </w:r>
      <w:r w:rsidR="00EA6EEA" w:rsidRPr="00B049AF">
        <w:rPr>
          <w:rFonts w:asciiTheme="minorHAnsi" w:hAnsiTheme="minorHAnsi" w:cstheme="minorHAnsi"/>
          <w:b/>
          <w:sz w:val="16"/>
          <w:szCs w:val="16"/>
        </w:rPr>
        <w:t>ECONOMIA E GESTIONE DELLE IMPRESE</w:t>
      </w:r>
      <w:r w:rsidRPr="00B049AF">
        <w:rPr>
          <w:rFonts w:asciiTheme="minorHAnsi" w:hAnsiTheme="minorHAnsi" w:cstheme="minorHAnsi"/>
          <w:b/>
          <w:sz w:val="16"/>
          <w:szCs w:val="16"/>
        </w:rPr>
        <w:t xml:space="preserve"> del 19 dicembre 2018</w:t>
      </w:r>
    </w:p>
    <w:p w14:paraId="66332649" w14:textId="77777777" w:rsidR="008674F6" w:rsidRPr="00B049AF" w:rsidRDefault="008674F6" w:rsidP="00221D2F">
      <w:pPr>
        <w:rPr>
          <w:rFonts w:asciiTheme="minorHAnsi" w:hAnsiTheme="minorHAnsi" w:cstheme="minorHAnsi"/>
          <w:b/>
          <w:sz w:val="16"/>
          <w:szCs w:val="16"/>
        </w:rPr>
      </w:pPr>
    </w:p>
    <w:p w14:paraId="08E3E615" w14:textId="41A80777" w:rsidR="008F2D0F" w:rsidRPr="00B049AF" w:rsidRDefault="008F2D0F" w:rsidP="00221D2F">
      <w:pPr>
        <w:rPr>
          <w:rFonts w:asciiTheme="minorHAnsi" w:hAnsiTheme="minorHAnsi" w:cstheme="minorHAnsi"/>
          <w:b/>
          <w:sz w:val="16"/>
          <w:szCs w:val="16"/>
        </w:rPr>
      </w:pPr>
      <w:r w:rsidRPr="00B049AF">
        <w:rPr>
          <w:rFonts w:asciiTheme="minorHAnsi" w:hAnsiTheme="minorHAnsi" w:cstheme="minorHAnsi"/>
          <w:b/>
          <w:sz w:val="16"/>
          <w:szCs w:val="16"/>
        </w:rPr>
        <w:t xml:space="preserve">N.ro MATRICOLA </w:t>
      </w:r>
      <w:r w:rsidR="002B2F4A" w:rsidRPr="00B049AF">
        <w:rPr>
          <w:rFonts w:asciiTheme="minorHAnsi" w:hAnsiTheme="minorHAnsi" w:cstheme="minorHAnsi"/>
          <w:b/>
          <w:sz w:val="16"/>
          <w:szCs w:val="16"/>
        </w:rPr>
        <w:t xml:space="preserve">DELLO STUDENTE </w:t>
      </w:r>
      <w:r w:rsidRPr="00B049AF">
        <w:rPr>
          <w:rFonts w:asciiTheme="minorHAnsi" w:hAnsiTheme="minorHAnsi" w:cstheme="minorHAnsi"/>
          <w:b/>
          <w:sz w:val="16"/>
          <w:szCs w:val="16"/>
        </w:rPr>
        <w:t>____________________________________</w:t>
      </w:r>
    </w:p>
    <w:p w14:paraId="45F6C345" w14:textId="77777777" w:rsidR="003D0E7B" w:rsidRPr="00EC49EC" w:rsidRDefault="003D0E7B" w:rsidP="00221D2F">
      <w:pPr>
        <w:rPr>
          <w:rFonts w:asciiTheme="minorHAnsi" w:hAnsiTheme="minorHAnsi" w:cstheme="minorHAnsi"/>
          <w:sz w:val="16"/>
          <w:szCs w:val="16"/>
        </w:rPr>
      </w:pPr>
    </w:p>
    <w:p w14:paraId="5442065E" w14:textId="77777777" w:rsidR="004746BA" w:rsidRPr="00EC49EC" w:rsidRDefault="00C17F23" w:rsidP="00417BEE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  <w:sz w:val="16"/>
          <w:szCs w:val="16"/>
        </w:rPr>
      </w:pPr>
      <w:r w:rsidRPr="00EC49EC">
        <w:rPr>
          <w:rFonts w:asciiTheme="minorHAnsi" w:hAnsiTheme="minorHAnsi" w:cstheme="minorHAnsi"/>
          <w:sz w:val="16"/>
          <w:szCs w:val="16"/>
        </w:rPr>
        <w:t xml:space="preserve">Si completi la tabella seguente con i numeri corretti. </w:t>
      </w:r>
    </w:p>
    <w:p w14:paraId="0E40AA58" w14:textId="346ABEA4" w:rsidR="000018A0" w:rsidRPr="00EC49EC" w:rsidRDefault="004746BA" w:rsidP="004746BA">
      <w:pPr>
        <w:pStyle w:val="Paragrafoelenco"/>
        <w:rPr>
          <w:rFonts w:asciiTheme="minorHAnsi" w:hAnsiTheme="minorHAnsi" w:cstheme="minorHAnsi"/>
          <w:sz w:val="16"/>
          <w:szCs w:val="16"/>
        </w:rPr>
      </w:pPr>
      <w:r w:rsidRPr="00EC49EC">
        <w:rPr>
          <w:rFonts w:asciiTheme="minorHAnsi" w:hAnsiTheme="minorHAnsi" w:cstheme="minorHAnsi"/>
          <w:b/>
          <w:sz w:val="16"/>
          <w:szCs w:val="16"/>
        </w:rPr>
        <w:t xml:space="preserve">SONO RICHIESTI ALMENO DUE ESERCIZI CORRETTAMENTE SVOLTI PERCHE’ LA PROVA POSSA ESSERE </w:t>
      </w:r>
      <w:r w:rsidR="001C1278" w:rsidRPr="00EC49EC">
        <w:rPr>
          <w:rFonts w:asciiTheme="minorHAnsi" w:hAnsiTheme="minorHAnsi" w:cstheme="minorHAnsi"/>
          <w:b/>
          <w:sz w:val="16"/>
          <w:szCs w:val="16"/>
        </w:rPr>
        <w:t xml:space="preserve">VALUTATA </w:t>
      </w:r>
      <w:r w:rsidRPr="00EC49EC">
        <w:rPr>
          <w:rFonts w:asciiTheme="minorHAnsi" w:hAnsiTheme="minorHAnsi" w:cstheme="minorHAnsi"/>
          <w:b/>
          <w:sz w:val="16"/>
          <w:szCs w:val="16"/>
        </w:rPr>
        <w:t>ANCHE NELLE ALTRE SEZIONI.</w:t>
      </w:r>
      <w:r w:rsidR="00774BD4" w:rsidRPr="00EC49EC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1C1278" w:rsidRPr="00EC49EC">
        <w:rPr>
          <w:rFonts w:asciiTheme="minorHAnsi" w:hAnsiTheme="minorHAnsi" w:cstheme="minorHAnsi"/>
          <w:b/>
          <w:sz w:val="16"/>
          <w:szCs w:val="16"/>
        </w:rPr>
        <w:t xml:space="preserve">PER LA SOLA SEZIONE DI ESERCIZI </w:t>
      </w:r>
      <w:r w:rsidR="00774BD4" w:rsidRPr="00EC49EC">
        <w:rPr>
          <w:rFonts w:asciiTheme="minorHAnsi" w:hAnsiTheme="minorHAnsi" w:cstheme="minorHAnsi"/>
          <w:b/>
          <w:sz w:val="16"/>
          <w:szCs w:val="16"/>
        </w:rPr>
        <w:t xml:space="preserve">NON SONO </w:t>
      </w:r>
      <w:r w:rsidR="001C1278" w:rsidRPr="00EC49EC">
        <w:rPr>
          <w:rFonts w:asciiTheme="minorHAnsi" w:hAnsiTheme="minorHAnsi" w:cstheme="minorHAnsi"/>
          <w:b/>
          <w:sz w:val="16"/>
          <w:szCs w:val="16"/>
        </w:rPr>
        <w:t xml:space="preserve">PREVISTE </w:t>
      </w:r>
      <w:r w:rsidR="00774BD4" w:rsidRPr="00EC49EC">
        <w:rPr>
          <w:rFonts w:asciiTheme="minorHAnsi" w:hAnsiTheme="minorHAnsi" w:cstheme="minorHAnsi"/>
          <w:b/>
          <w:sz w:val="16"/>
          <w:szCs w:val="16"/>
        </w:rPr>
        <w:t>PENALIZZAZIONI NEL CASO DI RISPOSTE SBAGLIATE.</w:t>
      </w:r>
    </w:p>
    <w:tbl>
      <w:tblPr>
        <w:tblStyle w:val="Grigliatabella"/>
        <w:tblW w:w="10915" w:type="dxa"/>
        <w:tblInd w:w="-572" w:type="dxa"/>
        <w:tblLook w:val="04A0" w:firstRow="1" w:lastRow="0" w:firstColumn="1" w:lastColumn="0" w:noHBand="0" w:noVBand="1"/>
      </w:tblPr>
      <w:tblGrid>
        <w:gridCol w:w="6096"/>
        <w:gridCol w:w="4819"/>
      </w:tblGrid>
      <w:tr w:rsidR="00E14D1C" w:rsidRPr="00EC49EC" w14:paraId="374BF537" w14:textId="77777777" w:rsidTr="00C77BEA">
        <w:tc>
          <w:tcPr>
            <w:tcW w:w="6096" w:type="dxa"/>
          </w:tcPr>
          <w:p w14:paraId="0CCFA700" w14:textId="77777777" w:rsidR="00E14D1C" w:rsidRPr="00EC49EC" w:rsidRDefault="00E14D1C" w:rsidP="008E752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ESERCIZIO 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-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Anno 0 - Il capitale investito è 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.000.000 di euro, con un WACC del 10%. Il costo del Debito è 6%. Il costo dell’</w:t>
            </w: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è 18%. La redditività operativa è 12% sul capitale investito.</w:t>
            </w:r>
          </w:p>
          <w:p w14:paraId="15467568" w14:textId="77777777" w:rsidR="00E14D1C" w:rsidRPr="00EC49EC" w:rsidRDefault="00E14D1C" w:rsidP="008E752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Anno 1 - L’impresa fa un aumento di capitale proprio (</w:t>
            </w: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) per 2.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00.000 euro e emette obbligazioni per altri 2.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00.000 – lasciando inalterata la redditività operativa sul capitale investito, il costo dell’</w:t>
            </w: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e il costo del debito. Il capitale investito cresce del 20%.</w:t>
            </w:r>
          </w:p>
        </w:tc>
        <w:tc>
          <w:tcPr>
            <w:tcW w:w="4819" w:type="dxa"/>
          </w:tcPr>
          <w:p w14:paraId="4B12D86B" w14:textId="7195EB77" w:rsidR="00E14D1C" w:rsidRPr="00EC49EC" w:rsidRDefault="00E14D1C" w:rsidP="000C4DF9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Il rapporto Attivo/</w:t>
            </w: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dell’anno 0 è </w:t>
            </w:r>
            <w:r w:rsidR="00B81AFB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  <w:p w14:paraId="2D055F35" w14:textId="77777777" w:rsidR="00E14D1C" w:rsidRPr="00EC49EC" w:rsidRDefault="00E14D1C" w:rsidP="000C4DF9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224208" w14:textId="6B2AEAEE" w:rsidR="00E14D1C" w:rsidRPr="00EC49EC" w:rsidRDefault="00E14D1C" w:rsidP="00E65E14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Il reddito residuale (profitto economico) per l’anno 1 sarà</w:t>
            </w:r>
            <w:r w:rsidR="00B81AFB">
              <w:rPr>
                <w:rFonts w:asciiTheme="minorHAnsi" w:hAnsiTheme="minorHAnsi" w:cstheme="minorHAnsi"/>
                <w:sz w:val="16"/>
                <w:szCs w:val="16"/>
              </w:rPr>
              <w:t xml:space="preserve"> 420.000</w:t>
            </w:r>
          </w:p>
        </w:tc>
      </w:tr>
      <w:tr w:rsidR="00E14D1C" w:rsidRPr="00EC49EC" w14:paraId="3951B99D" w14:textId="77777777" w:rsidTr="00C77BEA">
        <w:trPr>
          <w:trHeight w:val="719"/>
        </w:trPr>
        <w:tc>
          <w:tcPr>
            <w:tcW w:w="6096" w:type="dxa"/>
          </w:tcPr>
          <w:p w14:paraId="780AFD51" w14:textId="2965B578" w:rsidR="00E14D1C" w:rsidRPr="00EC49EC" w:rsidRDefault="00E14D1C" w:rsidP="003447E7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ESERCIZIO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2 -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La percentuale di ricarico sui costi variabili è 200%</w:t>
            </w:r>
          </w:p>
          <w:p w14:paraId="58A5116C" w14:textId="77777777" w:rsidR="00E14D1C" w:rsidRPr="00EC49EC" w:rsidRDefault="00E14D1C" w:rsidP="00AB625A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La leva operativa è pari a 2</w:t>
            </w:r>
          </w:p>
        </w:tc>
        <w:tc>
          <w:tcPr>
            <w:tcW w:w="4819" w:type="dxa"/>
          </w:tcPr>
          <w:p w14:paraId="4F9A45F5" w14:textId="50C73C8C" w:rsidR="00E14D1C" w:rsidRPr="00EC49EC" w:rsidRDefault="00E14D1C" w:rsidP="0044597B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Il margine di contribuzione è </w:t>
            </w:r>
            <w:r w:rsidR="00B81AFB">
              <w:rPr>
                <w:rFonts w:asciiTheme="minorHAnsi" w:hAnsiTheme="minorHAnsi" w:cstheme="minorHAnsi"/>
                <w:sz w:val="16"/>
                <w:szCs w:val="16"/>
              </w:rPr>
              <w:t>2/3</w:t>
            </w:r>
            <w:bookmarkStart w:id="0" w:name="_GoBack"/>
            <w:bookmarkEnd w:id="0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(% o frazione) del fatturato </w:t>
            </w:r>
          </w:p>
          <w:p w14:paraId="6C7AAD28" w14:textId="1066F076" w:rsidR="00E14D1C" w:rsidRPr="00EC49EC" w:rsidRDefault="00E14D1C" w:rsidP="00E65E14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L’elasticità dei costi (CV/CT) è </w:t>
            </w:r>
            <w:r w:rsidR="00B81AFB">
              <w:rPr>
                <w:rFonts w:asciiTheme="minorHAnsi" w:hAnsiTheme="minorHAnsi" w:cstheme="minorHAnsi"/>
                <w:sz w:val="16"/>
                <w:szCs w:val="16"/>
              </w:rPr>
              <w:t>0,5</w:t>
            </w:r>
          </w:p>
        </w:tc>
      </w:tr>
      <w:tr w:rsidR="00E14D1C" w:rsidRPr="00EC49EC" w14:paraId="6A2C310C" w14:textId="77777777" w:rsidTr="00C77BEA">
        <w:trPr>
          <w:trHeight w:val="962"/>
        </w:trPr>
        <w:tc>
          <w:tcPr>
            <w:tcW w:w="6096" w:type="dxa"/>
          </w:tcPr>
          <w:p w14:paraId="0F4A8D09" w14:textId="291ACCA4" w:rsidR="00E14D1C" w:rsidRPr="00EC49EC" w:rsidRDefault="00E14D1C" w:rsidP="00A4220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ESERCIZIO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3 - I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l ciclo economico è pari a 10 giorni, mentre il ciclo monetario è pari a 20 giorni. I debiti verso fornitori sono pari a 3 milioni di euro e gli acquisti annuali di beni e servizi sono pari a 30 milioni di euro. Anno = 360</w:t>
            </w:r>
          </w:p>
        </w:tc>
        <w:tc>
          <w:tcPr>
            <w:tcW w:w="4819" w:type="dxa"/>
          </w:tcPr>
          <w:p w14:paraId="3A11534F" w14:textId="77777777" w:rsidR="00E14D1C" w:rsidRDefault="00E14D1C" w:rsidP="00322009">
            <w:pPr>
              <w:spacing w:before="120" w:after="120" w:line="360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5B5CAA7" w14:textId="6DDFCB8C" w:rsidR="00E14D1C" w:rsidRPr="00EC49EC" w:rsidRDefault="00E14D1C" w:rsidP="00322009">
            <w:pPr>
              <w:spacing w:before="120" w:after="120" w:line="36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La durata dei crediti verso clienti è pari </w:t>
            </w:r>
            <w:r w:rsidR="00B81AFB">
              <w:rPr>
                <w:rFonts w:asciiTheme="minorHAnsi" w:hAnsiTheme="minorHAnsi" w:cstheme="minorHAnsi"/>
                <w:sz w:val="16"/>
                <w:szCs w:val="16"/>
              </w:rPr>
              <w:t>a 46 gg</w:t>
            </w:r>
          </w:p>
        </w:tc>
      </w:tr>
      <w:tr w:rsidR="00E14D1C" w:rsidRPr="00EC49EC" w14:paraId="5614E3DB" w14:textId="77777777" w:rsidTr="00C77BEA">
        <w:trPr>
          <w:trHeight w:val="1061"/>
        </w:trPr>
        <w:tc>
          <w:tcPr>
            <w:tcW w:w="6096" w:type="dxa"/>
          </w:tcPr>
          <w:p w14:paraId="3C628508" w14:textId="43765A00" w:rsidR="00E14D1C" w:rsidRPr="00EC49EC" w:rsidRDefault="00E14D1C" w:rsidP="009E5452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ESERCIZIO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4 -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I debiti dell’impresa sono 2 volte l’</w:t>
            </w: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. Il Profitto netto è pari a 400.000 euro. Il capitale investito è pari a 10.000.000 di euro e il fatturato è pari a 6.000.000 di euro. Per aumentare il ROE di 1/3 l’impresa intende aumentare il fatturato, a parità di ROS.</w:t>
            </w:r>
          </w:p>
        </w:tc>
        <w:tc>
          <w:tcPr>
            <w:tcW w:w="4819" w:type="dxa"/>
          </w:tcPr>
          <w:p w14:paraId="2A965E6C" w14:textId="7AEA5E66" w:rsidR="00E14D1C" w:rsidRPr="00EC49EC" w:rsidRDefault="00E14D1C" w:rsidP="00B21EFA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Il ROE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iniziale è </w:t>
            </w:r>
            <w:r w:rsidR="00B81AFB">
              <w:rPr>
                <w:rFonts w:asciiTheme="minorHAnsi" w:hAnsiTheme="minorHAnsi" w:cstheme="minorHAnsi"/>
                <w:sz w:val="16"/>
                <w:szCs w:val="16"/>
              </w:rPr>
              <w:t>12%</w:t>
            </w:r>
          </w:p>
          <w:p w14:paraId="65B118E5" w14:textId="0D752735" w:rsidR="00E14D1C" w:rsidRPr="00EC49EC" w:rsidRDefault="00E14D1C" w:rsidP="00766E03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Nel caso l’operazione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di aumento del ROE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abbia successo, quale sarà il nuovo valore della rotazione dell’attivo? </w:t>
            </w:r>
            <w:r w:rsidR="00B81AFB">
              <w:rPr>
                <w:rFonts w:asciiTheme="minorHAnsi" w:hAnsiTheme="minorHAnsi" w:cstheme="minorHAnsi"/>
                <w:sz w:val="16"/>
                <w:szCs w:val="16"/>
              </w:rPr>
              <w:t>0,8</w:t>
            </w:r>
          </w:p>
        </w:tc>
      </w:tr>
      <w:tr w:rsidR="00E14D1C" w:rsidRPr="00EC49EC" w14:paraId="3CA3214A" w14:textId="77777777" w:rsidTr="00C77BEA">
        <w:trPr>
          <w:trHeight w:val="755"/>
        </w:trPr>
        <w:tc>
          <w:tcPr>
            <w:tcW w:w="6096" w:type="dxa"/>
          </w:tcPr>
          <w:p w14:paraId="7A761A27" w14:textId="52CBE70A" w:rsidR="00E14D1C" w:rsidRPr="00EC49EC" w:rsidRDefault="00E14D1C" w:rsidP="00AA43FA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ESERCIZIO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5.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All’attuale livello di vendite, i costi fissi sono il 20% più elevati dei costi variabili. Il margine di contribuzione è del 50% superiore ai costi fissi. La leva operativa è pari a 3. Immaginiamo che – a causa di una caduta della domanda di mercato - i volumi di vendita si riducano di 1/4:</w:t>
            </w:r>
          </w:p>
        </w:tc>
        <w:tc>
          <w:tcPr>
            <w:tcW w:w="4819" w:type="dxa"/>
          </w:tcPr>
          <w:p w14:paraId="1FD642F4" w14:textId="2920521C" w:rsidR="00E14D1C" w:rsidRPr="00EC49EC" w:rsidRDefault="00E14D1C" w:rsidP="00B21EFA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La nuova leva operativa sarà </w:t>
            </w:r>
            <w:r w:rsidR="00B81AFB">
              <w:rPr>
                <w:rFonts w:asciiTheme="minorHAnsi" w:hAnsiTheme="minorHAnsi" w:cstheme="minorHAnsi"/>
                <w:sz w:val="16"/>
                <w:szCs w:val="16"/>
              </w:rPr>
              <w:t>9</w:t>
            </w:r>
          </w:p>
          <w:p w14:paraId="79D35CFC" w14:textId="545720C1" w:rsidR="00E14D1C" w:rsidRPr="00EC49EC" w:rsidRDefault="00E14D1C" w:rsidP="00D7143C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Dopo la caduta delle vendite il reddito netto dell’impresa sarà </w:t>
            </w:r>
            <w:r w:rsidR="00B81AFB">
              <w:rPr>
                <w:rFonts w:asciiTheme="minorHAnsi" w:hAnsiTheme="minorHAnsi" w:cstheme="minorHAnsi"/>
                <w:sz w:val="16"/>
                <w:szCs w:val="16"/>
              </w:rPr>
              <w:t xml:space="preserve">¼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rispetto a prima</w:t>
            </w:r>
          </w:p>
        </w:tc>
      </w:tr>
    </w:tbl>
    <w:p w14:paraId="764C82CB" w14:textId="0A53138A" w:rsidR="003D0E7B" w:rsidRDefault="003D0E7B" w:rsidP="004B76A9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302141CB" w14:textId="77777777" w:rsidR="00B81AFB" w:rsidRPr="00EC49EC" w:rsidRDefault="00B81AFB" w:rsidP="004B76A9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6199B707" w14:textId="262D877D" w:rsidR="00C57924" w:rsidRPr="00EC49EC" w:rsidRDefault="009A0512" w:rsidP="007B5776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  <w:b/>
          <w:sz w:val="16"/>
          <w:szCs w:val="16"/>
        </w:rPr>
      </w:pPr>
      <w:r w:rsidRPr="00EC49EC">
        <w:rPr>
          <w:rFonts w:asciiTheme="minorHAnsi" w:hAnsiTheme="minorHAnsi" w:cstheme="minorHAnsi"/>
          <w:sz w:val="16"/>
          <w:szCs w:val="16"/>
        </w:rPr>
        <w:t xml:space="preserve">Le seguenti proposizioni possono essere vere (V) o false (F). Si metta una </w:t>
      </w:r>
      <w:r w:rsidRPr="00EC49EC">
        <w:rPr>
          <w:rFonts w:asciiTheme="minorHAnsi" w:hAnsiTheme="minorHAnsi" w:cstheme="minorHAnsi"/>
          <w:b/>
          <w:sz w:val="16"/>
          <w:szCs w:val="16"/>
        </w:rPr>
        <w:t>crocetta</w:t>
      </w:r>
      <w:r w:rsidRPr="00EC49EC">
        <w:rPr>
          <w:rFonts w:asciiTheme="minorHAnsi" w:hAnsiTheme="minorHAnsi" w:cstheme="minorHAnsi"/>
          <w:sz w:val="16"/>
          <w:szCs w:val="16"/>
        </w:rPr>
        <w:t xml:space="preserve"> sulla colonna appropriata. </w:t>
      </w:r>
      <w:r w:rsidR="00D227B7" w:rsidRPr="00EC49EC">
        <w:rPr>
          <w:rFonts w:asciiTheme="minorHAnsi" w:hAnsiTheme="minorHAnsi" w:cstheme="minorHAnsi"/>
          <w:b/>
          <w:sz w:val="16"/>
          <w:szCs w:val="16"/>
        </w:rPr>
        <w:t>SONO PREVISTE PENALIZZAZIONI PER LE RISPOSTE SBAGLIATE</w:t>
      </w:r>
    </w:p>
    <w:tbl>
      <w:tblPr>
        <w:tblStyle w:val="Grigliatabella"/>
        <w:tblW w:w="10802" w:type="dxa"/>
        <w:tblInd w:w="-459" w:type="dxa"/>
        <w:tblLook w:val="04A0" w:firstRow="1" w:lastRow="0" w:firstColumn="1" w:lastColumn="0" w:noHBand="0" w:noVBand="1"/>
      </w:tblPr>
      <w:tblGrid>
        <w:gridCol w:w="9917"/>
        <w:gridCol w:w="460"/>
        <w:gridCol w:w="425"/>
      </w:tblGrid>
      <w:tr w:rsidR="00A12684" w:rsidRPr="00EC49EC" w14:paraId="518432A1" w14:textId="77777777" w:rsidTr="002F0219">
        <w:trPr>
          <w:tblHeader/>
        </w:trPr>
        <w:tc>
          <w:tcPr>
            <w:tcW w:w="9917" w:type="dxa"/>
          </w:tcPr>
          <w:p w14:paraId="313A200B" w14:textId="77777777" w:rsidR="00A12684" w:rsidRPr="00EC49EC" w:rsidRDefault="00A12684" w:rsidP="0013366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14:paraId="1DEC1DF7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V</w:t>
            </w:r>
          </w:p>
        </w:tc>
        <w:tc>
          <w:tcPr>
            <w:tcW w:w="425" w:type="dxa"/>
          </w:tcPr>
          <w:p w14:paraId="064649A7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F</w:t>
            </w:r>
          </w:p>
        </w:tc>
      </w:tr>
      <w:tr w:rsidR="00A12684" w:rsidRPr="00EC49EC" w14:paraId="7EE74047" w14:textId="77777777" w:rsidTr="002F0219">
        <w:tc>
          <w:tcPr>
            <w:tcW w:w="9917" w:type="dxa"/>
          </w:tcPr>
          <w:p w14:paraId="579735B6" w14:textId="16568162" w:rsidR="00A12684" w:rsidRPr="00EC49EC" w:rsidRDefault="00723F88" w:rsidP="00846D4B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La competitività delle imprese </w:t>
            </w:r>
            <w:r w:rsidR="00671A44">
              <w:rPr>
                <w:rFonts w:asciiTheme="minorHAnsi" w:hAnsiTheme="minorHAnsi" w:cstheme="minorHAnsi"/>
                <w:sz w:val="16"/>
                <w:szCs w:val="16"/>
              </w:rPr>
              <w:t xml:space="preserve">esportatrici non dipende dai tassi di cambio </w:t>
            </w:r>
            <w:r w:rsidR="00D03522">
              <w:rPr>
                <w:rFonts w:asciiTheme="minorHAnsi" w:hAnsiTheme="minorHAnsi" w:cstheme="minorHAnsi"/>
                <w:sz w:val="16"/>
                <w:szCs w:val="16"/>
              </w:rPr>
              <w:t>tra valuta nazionale e valute estere</w:t>
            </w:r>
          </w:p>
        </w:tc>
        <w:tc>
          <w:tcPr>
            <w:tcW w:w="460" w:type="dxa"/>
          </w:tcPr>
          <w:p w14:paraId="5EF45E2F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FCE0D76" w14:textId="2D907769" w:rsidR="00A12684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A12684" w:rsidRPr="00EC49EC" w14:paraId="40073459" w14:textId="77777777" w:rsidTr="002F0219">
        <w:tc>
          <w:tcPr>
            <w:tcW w:w="9917" w:type="dxa"/>
          </w:tcPr>
          <w:p w14:paraId="0899F0E3" w14:textId="46A3D124" w:rsidR="00A12684" w:rsidRPr="00EC49EC" w:rsidRDefault="00723F88" w:rsidP="00846D4B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Il perseguimento dell’obiettivo di accorciare il ciclo monetario può avere conseguenze negative sui rapporti con i fornitori e i clienti</w:t>
            </w:r>
          </w:p>
        </w:tc>
        <w:tc>
          <w:tcPr>
            <w:tcW w:w="460" w:type="dxa"/>
          </w:tcPr>
          <w:p w14:paraId="14BAE924" w14:textId="1A41D52F" w:rsidR="00A12684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618ED827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2684" w:rsidRPr="00EC49EC" w14:paraId="4C0B611F" w14:textId="77777777" w:rsidTr="002F0219">
        <w:tc>
          <w:tcPr>
            <w:tcW w:w="9917" w:type="dxa"/>
          </w:tcPr>
          <w:p w14:paraId="6F700E8D" w14:textId="4EF2FE27" w:rsidR="00A12684" w:rsidRPr="00EC49EC" w:rsidRDefault="00E65B3D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Le imprese </w:t>
            </w:r>
            <w:r w:rsidR="0070045C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che vendono ai prezzi più alti sono </w:t>
            </w:r>
            <w:r w:rsidR="00F94CD7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necessariamente </w:t>
            </w:r>
            <w:r w:rsidR="0070045C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quelle che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con percentuali di ricarico più elevate</w:t>
            </w:r>
          </w:p>
        </w:tc>
        <w:tc>
          <w:tcPr>
            <w:tcW w:w="460" w:type="dxa"/>
          </w:tcPr>
          <w:p w14:paraId="38EB175B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DEBD9B3" w14:textId="5F6A380E" w:rsidR="00A12684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A12684" w:rsidRPr="00EC49EC" w14:paraId="78E0AF81" w14:textId="77777777" w:rsidTr="002F0219">
        <w:tc>
          <w:tcPr>
            <w:tcW w:w="9917" w:type="dxa"/>
          </w:tcPr>
          <w:p w14:paraId="3FAB1817" w14:textId="3BD46D19" w:rsidR="00A12684" w:rsidRPr="00EC49EC" w:rsidRDefault="00A12684" w:rsidP="00EA7C0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Le pratiche di </w:t>
            </w: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revenue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management </w:t>
            </w:r>
            <w:r w:rsidR="00F94CD7" w:rsidRPr="00EC49EC">
              <w:rPr>
                <w:rFonts w:asciiTheme="minorHAnsi" w:hAnsiTheme="minorHAnsi" w:cstheme="minorHAnsi"/>
                <w:sz w:val="16"/>
                <w:szCs w:val="16"/>
              </w:rPr>
              <w:t>potrebbero essere applicate anche nel settore agro-industriale, in condizioni di esubero di capacità produttiva</w:t>
            </w:r>
          </w:p>
        </w:tc>
        <w:tc>
          <w:tcPr>
            <w:tcW w:w="460" w:type="dxa"/>
          </w:tcPr>
          <w:p w14:paraId="21C805FF" w14:textId="08F555CB" w:rsidR="00A12684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119AC0BC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2684" w:rsidRPr="00EC49EC" w14:paraId="04455F81" w14:textId="77777777" w:rsidTr="002F0219">
        <w:tc>
          <w:tcPr>
            <w:tcW w:w="9917" w:type="dxa"/>
          </w:tcPr>
          <w:p w14:paraId="33400E15" w14:textId="0D20BBE1" w:rsidR="00A12684" w:rsidRPr="00EC49EC" w:rsidRDefault="00F94CD7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Nel tentativo di realizzare</w:t>
            </w:r>
            <w:r w:rsidR="00702FCC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A12684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economie di scala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le imprese potrebbero aumentare eccessivamente i costi fissi, con conseguenze negative sul livello di rischio operativo </w:t>
            </w:r>
          </w:p>
        </w:tc>
        <w:tc>
          <w:tcPr>
            <w:tcW w:w="460" w:type="dxa"/>
          </w:tcPr>
          <w:p w14:paraId="3B69189E" w14:textId="46E90504" w:rsidR="00A12684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49E228D5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2684" w:rsidRPr="00EC49EC" w14:paraId="49769224" w14:textId="77777777" w:rsidTr="002F0219">
        <w:tc>
          <w:tcPr>
            <w:tcW w:w="9917" w:type="dxa"/>
          </w:tcPr>
          <w:p w14:paraId="55B4DBE3" w14:textId="0747C85C" w:rsidR="00A12684" w:rsidRPr="00EC49EC" w:rsidRDefault="00F94CD7" w:rsidP="00EA7C0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I costi di acquisto di servizi sono in media pari al 50% dei costi di acquisto di beni</w:t>
            </w:r>
          </w:p>
        </w:tc>
        <w:tc>
          <w:tcPr>
            <w:tcW w:w="460" w:type="dxa"/>
          </w:tcPr>
          <w:p w14:paraId="1664812A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8BBD8BD" w14:textId="74725419" w:rsidR="00A12684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A12684" w:rsidRPr="00EC49EC" w14:paraId="4E71FDCB" w14:textId="77777777" w:rsidTr="002F0219">
        <w:tc>
          <w:tcPr>
            <w:tcW w:w="9917" w:type="dxa"/>
          </w:tcPr>
          <w:p w14:paraId="64D153DB" w14:textId="0268D229" w:rsidR="00A12684" w:rsidRPr="00EC49EC" w:rsidRDefault="00F94CD7" w:rsidP="00657242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Un prezzo inferiore ai costi potrebbe essere praticato da un’impresa già presente nel settore per scoraggiare l’ingresso di nuovi concorrenti</w:t>
            </w:r>
          </w:p>
        </w:tc>
        <w:tc>
          <w:tcPr>
            <w:tcW w:w="460" w:type="dxa"/>
          </w:tcPr>
          <w:p w14:paraId="4D8ADE29" w14:textId="611147A1" w:rsidR="00A12684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6379B06C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2684" w:rsidRPr="00EC49EC" w14:paraId="5157FEA3" w14:textId="77777777" w:rsidTr="002F0219">
        <w:tc>
          <w:tcPr>
            <w:tcW w:w="9917" w:type="dxa"/>
          </w:tcPr>
          <w:p w14:paraId="1EDDF6B4" w14:textId="61E373A8" w:rsidR="00A12684" w:rsidRPr="00EC49EC" w:rsidRDefault="00A12684" w:rsidP="00657242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Il sistema del valore </w:t>
            </w:r>
            <w:r w:rsidR="00F94CD7" w:rsidRPr="00EC49EC">
              <w:rPr>
                <w:rFonts w:asciiTheme="minorHAnsi" w:hAnsiTheme="minorHAnsi" w:cstheme="minorHAnsi"/>
                <w:sz w:val="16"/>
                <w:szCs w:val="16"/>
              </w:rPr>
              <w:t>coincide nella maggior parte dei casi con la catena del valore, per le imprese manifatturiere</w:t>
            </w:r>
          </w:p>
        </w:tc>
        <w:tc>
          <w:tcPr>
            <w:tcW w:w="460" w:type="dxa"/>
          </w:tcPr>
          <w:p w14:paraId="444E14D5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02820720" w14:textId="6EF5D1C3" w:rsidR="00A12684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A12684" w:rsidRPr="00EC49EC" w14:paraId="12590700" w14:textId="77777777" w:rsidTr="002F0219">
        <w:tc>
          <w:tcPr>
            <w:tcW w:w="9917" w:type="dxa"/>
          </w:tcPr>
          <w:p w14:paraId="7A5A98A3" w14:textId="5F07B7FA" w:rsidR="00A12684" w:rsidRPr="00EC49EC" w:rsidRDefault="00A12684" w:rsidP="00EA7C0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Il fatturato per addetto </w:t>
            </w:r>
            <w:r w:rsidR="00891ADC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è </w:t>
            </w:r>
            <w:r w:rsidR="00F94CD7" w:rsidRPr="00EC49EC">
              <w:rPr>
                <w:rFonts w:asciiTheme="minorHAnsi" w:hAnsiTheme="minorHAnsi" w:cstheme="minorHAnsi"/>
                <w:sz w:val="16"/>
                <w:szCs w:val="16"/>
              </w:rPr>
              <w:t>di necessità più elevato del valore aggiunto per addetto</w:t>
            </w:r>
          </w:p>
        </w:tc>
        <w:tc>
          <w:tcPr>
            <w:tcW w:w="460" w:type="dxa"/>
          </w:tcPr>
          <w:p w14:paraId="009E9370" w14:textId="677D23B8" w:rsidR="00A12684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5E8AEAA8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2684" w:rsidRPr="00EC49EC" w14:paraId="33E00C6D" w14:textId="77777777" w:rsidTr="002F0219">
        <w:tc>
          <w:tcPr>
            <w:tcW w:w="9917" w:type="dxa"/>
          </w:tcPr>
          <w:p w14:paraId="7C6E5361" w14:textId="09AA5C19" w:rsidR="00A12684" w:rsidRPr="00EC49EC" w:rsidRDefault="00A12684" w:rsidP="000C5E34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Il fatturato di pareggio </w:t>
            </w:r>
            <w:r w:rsidR="00F94CD7" w:rsidRPr="00EC49EC">
              <w:rPr>
                <w:rFonts w:asciiTheme="minorHAnsi" w:hAnsiTheme="minorHAnsi" w:cstheme="minorHAnsi"/>
                <w:sz w:val="16"/>
                <w:szCs w:val="16"/>
              </w:rPr>
              <w:t>è di necessità superiore ai costi fissi, qualsiasi sia la struttura di costi dell’impresa</w:t>
            </w:r>
          </w:p>
        </w:tc>
        <w:tc>
          <w:tcPr>
            <w:tcW w:w="460" w:type="dxa"/>
          </w:tcPr>
          <w:p w14:paraId="2F819BE9" w14:textId="46D029AD" w:rsidR="00A12684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1A47143C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2684" w:rsidRPr="00EC49EC" w14:paraId="71BEABDD" w14:textId="77777777" w:rsidTr="002F0219">
        <w:tc>
          <w:tcPr>
            <w:tcW w:w="9917" w:type="dxa"/>
          </w:tcPr>
          <w:p w14:paraId="35498824" w14:textId="5F862070" w:rsidR="00A12684" w:rsidRPr="00EC49EC" w:rsidRDefault="00A12684" w:rsidP="00FC01FC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Il costo dell’</w:t>
            </w: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equ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ity </w:t>
            </w:r>
            <w:r w:rsidR="00F94CD7" w:rsidRPr="00EC49EC">
              <w:rPr>
                <w:rFonts w:asciiTheme="minorHAnsi" w:hAnsiTheme="minorHAnsi" w:cstheme="minorHAnsi"/>
                <w:sz w:val="16"/>
                <w:szCs w:val="16"/>
              </w:rPr>
              <w:t>è</w:t>
            </w:r>
            <w:proofErr w:type="spellStart"/>
            <w:r w:rsidR="00F94CD7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non d</w:t>
            </w:r>
            <w:proofErr w:type="spellEnd"/>
            <w:r w:rsidR="00F94CD7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i rado inferiore al </w:t>
            </w:r>
            <w:proofErr w:type="spellStart"/>
            <w:r w:rsidR="00F94CD7" w:rsidRPr="00EC49EC">
              <w:rPr>
                <w:rFonts w:asciiTheme="minorHAnsi" w:hAnsiTheme="minorHAnsi" w:cstheme="minorHAnsi"/>
                <w:sz w:val="16"/>
                <w:szCs w:val="16"/>
              </w:rPr>
              <w:t>Wacc</w:t>
            </w:r>
            <w:proofErr w:type="spellEnd"/>
            <w:r w:rsidR="00F94CD7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, specialmente quando il </w:t>
            </w:r>
            <w:proofErr w:type="spellStart"/>
            <w:r w:rsidR="00F94CD7" w:rsidRPr="00EC49EC">
              <w:rPr>
                <w:rFonts w:asciiTheme="minorHAnsi" w:hAnsiTheme="minorHAnsi" w:cstheme="minorHAnsi"/>
                <w:sz w:val="16"/>
                <w:szCs w:val="16"/>
              </w:rPr>
              <w:t>Roic</w:t>
            </w:r>
            <w:proofErr w:type="spellEnd"/>
            <w:r w:rsidR="00F94CD7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è inferiore al 10% </w:t>
            </w:r>
            <w:r w:rsidR="00A078A3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60" w:type="dxa"/>
          </w:tcPr>
          <w:p w14:paraId="60F89F0C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CFA849F" w14:textId="3ADBB7E7" w:rsidR="00A12684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A12684" w:rsidRPr="00EC49EC" w14:paraId="35DFBF79" w14:textId="77777777" w:rsidTr="002F0219">
        <w:tc>
          <w:tcPr>
            <w:tcW w:w="9917" w:type="dxa"/>
          </w:tcPr>
          <w:p w14:paraId="5C3C86B3" w14:textId="7F2E5644" w:rsidR="00A12684" w:rsidRPr="00EC49EC" w:rsidRDefault="00F94CD7" w:rsidP="00BF6D4A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I </w:t>
            </w:r>
            <w:r w:rsidR="00970D30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costi marginali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sono più bassi nei settori con più costi fissi affondati</w:t>
            </w:r>
          </w:p>
        </w:tc>
        <w:tc>
          <w:tcPr>
            <w:tcW w:w="460" w:type="dxa"/>
          </w:tcPr>
          <w:p w14:paraId="19087099" w14:textId="1A2ADB88" w:rsidR="00A12684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73D462D0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2684" w:rsidRPr="00EC49EC" w14:paraId="759C44EB" w14:textId="77777777" w:rsidTr="002F0219">
        <w:tc>
          <w:tcPr>
            <w:tcW w:w="9917" w:type="dxa"/>
          </w:tcPr>
          <w:p w14:paraId="63C14CD0" w14:textId="04185C0E" w:rsidR="00A12684" w:rsidRPr="00EC49EC" w:rsidRDefault="00F94CD7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I processi di innovazione</w:t>
            </w:r>
            <w:r w:rsidR="00141DFC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aziendali non hanno solo effetti positivi, perché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generano </w:t>
            </w:r>
            <w:r w:rsidR="00A12684" w:rsidRPr="00EC49EC">
              <w:rPr>
                <w:rFonts w:asciiTheme="minorHAnsi" w:hAnsiTheme="minorHAnsi" w:cstheme="minorHAnsi"/>
                <w:sz w:val="16"/>
                <w:szCs w:val="16"/>
              </w:rPr>
              <w:t>costi di “obsolescenza”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e possono interrompere le economie di apprendimento (</w:t>
            </w: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learning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curves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</w:tc>
        <w:tc>
          <w:tcPr>
            <w:tcW w:w="460" w:type="dxa"/>
          </w:tcPr>
          <w:p w14:paraId="09ACA8D3" w14:textId="7934B63C" w:rsidR="00A12684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3FD55149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2684" w:rsidRPr="00EC49EC" w14:paraId="56A2347C" w14:textId="77777777" w:rsidTr="002F0219">
        <w:tc>
          <w:tcPr>
            <w:tcW w:w="9917" w:type="dxa"/>
          </w:tcPr>
          <w:p w14:paraId="070CDEB1" w14:textId="52288939" w:rsidR="00A12684" w:rsidRPr="00EC49EC" w:rsidRDefault="00A12684" w:rsidP="00BC3D5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I costi </w:t>
            </w:r>
            <w:r w:rsidR="00671A44">
              <w:rPr>
                <w:rFonts w:asciiTheme="minorHAnsi" w:hAnsiTheme="minorHAnsi" w:cstheme="minorHAnsi"/>
                <w:sz w:val="16"/>
                <w:szCs w:val="16"/>
              </w:rPr>
              <w:t xml:space="preserve">del lavoro impiegatizio si possono considerare come tipici costi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affondati</w:t>
            </w:r>
          </w:p>
        </w:tc>
        <w:tc>
          <w:tcPr>
            <w:tcW w:w="460" w:type="dxa"/>
          </w:tcPr>
          <w:p w14:paraId="13C7CE65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7345C4F7" w14:textId="76402716" w:rsidR="00A12684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A12684" w:rsidRPr="00EC49EC" w14:paraId="4F0ABF0C" w14:textId="77777777" w:rsidTr="002F0219">
        <w:tc>
          <w:tcPr>
            <w:tcW w:w="9917" w:type="dxa"/>
          </w:tcPr>
          <w:p w14:paraId="27C46386" w14:textId="0B08F795" w:rsidR="00A12684" w:rsidRPr="00EC49EC" w:rsidRDefault="000C436D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È </w:t>
            </w:r>
            <w:r w:rsidR="00A12684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meglio aumentare il ROE </w:t>
            </w:r>
            <w:r w:rsidR="00141DFC" w:rsidRPr="00EC49EC">
              <w:rPr>
                <w:rFonts w:asciiTheme="minorHAnsi" w:hAnsiTheme="minorHAnsi" w:cstheme="minorHAnsi"/>
                <w:sz w:val="16"/>
                <w:szCs w:val="16"/>
              </w:rPr>
              <w:t>aumentando la redditi</w:t>
            </w:r>
            <w:r w:rsidR="00D701EA" w:rsidRPr="00EC49EC">
              <w:rPr>
                <w:rFonts w:asciiTheme="minorHAnsi" w:hAnsiTheme="minorHAnsi" w:cstheme="minorHAnsi"/>
                <w:sz w:val="16"/>
                <w:szCs w:val="16"/>
              </w:rPr>
              <w:t>vità del capitale investito (attivo) anziché attraverso la leva finanziaria</w:t>
            </w:r>
          </w:p>
        </w:tc>
        <w:tc>
          <w:tcPr>
            <w:tcW w:w="460" w:type="dxa"/>
          </w:tcPr>
          <w:p w14:paraId="342AC36D" w14:textId="16286A9C" w:rsidR="00A12684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67980BD4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2684" w:rsidRPr="00EC49EC" w14:paraId="16B6FBF5" w14:textId="77777777" w:rsidTr="002F0219">
        <w:tc>
          <w:tcPr>
            <w:tcW w:w="9917" w:type="dxa"/>
          </w:tcPr>
          <w:p w14:paraId="6A5012F0" w14:textId="730D5CBB" w:rsidR="00A12684" w:rsidRPr="00EC49EC" w:rsidRDefault="00A12684" w:rsidP="0082646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Date due imprese A e B</w:t>
            </w:r>
            <w:r w:rsidR="00D701EA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con la stessa integrazione verticale, misurata dal rapporto Valore Aggiunto/Valore della produzione, la loro percentuale di reddito operativo sarà identica</w:t>
            </w:r>
          </w:p>
        </w:tc>
        <w:tc>
          <w:tcPr>
            <w:tcW w:w="460" w:type="dxa"/>
          </w:tcPr>
          <w:p w14:paraId="1CF36A64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14532B4" w14:textId="278EA0A4" w:rsidR="00A12684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A12684" w:rsidRPr="00EC49EC" w14:paraId="27CD7B98" w14:textId="77777777" w:rsidTr="002F0219">
        <w:tc>
          <w:tcPr>
            <w:tcW w:w="9917" w:type="dxa"/>
          </w:tcPr>
          <w:p w14:paraId="04ECB44F" w14:textId="4E2E8C34" w:rsidR="00A12684" w:rsidRPr="00EC49EC" w:rsidRDefault="00AC28F7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La </w:t>
            </w:r>
            <w:r w:rsidR="00A12684" w:rsidRPr="00EC49EC">
              <w:rPr>
                <w:rFonts w:asciiTheme="minorHAnsi" w:hAnsiTheme="minorHAnsi" w:cstheme="minorHAnsi"/>
                <w:sz w:val="16"/>
                <w:szCs w:val="16"/>
              </w:rPr>
              <w:t>produttività del lavoro</w:t>
            </w:r>
            <w:r w:rsidR="00D701EA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cresce con la crescita del grado di integrazione verticale</w:t>
            </w:r>
          </w:p>
        </w:tc>
        <w:tc>
          <w:tcPr>
            <w:tcW w:w="460" w:type="dxa"/>
          </w:tcPr>
          <w:p w14:paraId="07CDE70F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0125F24F" w14:textId="25B56F5F" w:rsidR="00A12684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F94CD7" w:rsidRPr="00EC49EC" w14:paraId="4626F8CE" w14:textId="77777777" w:rsidTr="002F0219">
        <w:tc>
          <w:tcPr>
            <w:tcW w:w="9917" w:type="dxa"/>
          </w:tcPr>
          <w:p w14:paraId="695EDFD1" w14:textId="5B1392C0" w:rsidR="00F94CD7" w:rsidRPr="00EC49EC" w:rsidRDefault="00D701EA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Nelle società per azioni quotate in borsa gli amministratori non esecutivi sono nominati dall’assemblea degli azionisti</w:t>
            </w:r>
          </w:p>
        </w:tc>
        <w:tc>
          <w:tcPr>
            <w:tcW w:w="460" w:type="dxa"/>
          </w:tcPr>
          <w:p w14:paraId="77BD4FBB" w14:textId="3C7E6767" w:rsidR="00F94CD7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34A8ADF9" w14:textId="77777777" w:rsidR="00F94CD7" w:rsidRPr="00EC49EC" w:rsidRDefault="00F94CD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94CD7" w:rsidRPr="00EC49EC" w14:paraId="360823D5" w14:textId="77777777" w:rsidTr="002F0219">
        <w:tc>
          <w:tcPr>
            <w:tcW w:w="9917" w:type="dxa"/>
          </w:tcPr>
          <w:p w14:paraId="4D1FBC02" w14:textId="2A657C3D" w:rsidR="00F94CD7" w:rsidRPr="00EC49EC" w:rsidRDefault="00D701EA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Gli stakeholder “interni” all’impresa hanno diritto di nominare dei rappresentanti negli organi di governo dell’impresa</w:t>
            </w:r>
          </w:p>
        </w:tc>
        <w:tc>
          <w:tcPr>
            <w:tcW w:w="460" w:type="dxa"/>
          </w:tcPr>
          <w:p w14:paraId="557C727D" w14:textId="77777777" w:rsidR="00F94CD7" w:rsidRPr="00EC49EC" w:rsidRDefault="00F94CD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241167B" w14:textId="5851B6BA" w:rsidR="00F94CD7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D701EA" w:rsidRPr="00EC49EC" w14:paraId="1D89BA7D" w14:textId="77777777" w:rsidTr="002F0219">
        <w:tc>
          <w:tcPr>
            <w:tcW w:w="9917" w:type="dxa"/>
          </w:tcPr>
          <w:p w14:paraId="3035AB3E" w14:textId="6BFC9DDA" w:rsidR="00D701EA" w:rsidRPr="00EC49EC" w:rsidRDefault="00D701EA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Gli amministratori indipendenti sono quelli che, per partecipare alle riunioni del consiglio di amministrazione, non ricevono alcun compenso dall’impresa </w:t>
            </w:r>
          </w:p>
        </w:tc>
        <w:tc>
          <w:tcPr>
            <w:tcW w:w="460" w:type="dxa"/>
          </w:tcPr>
          <w:p w14:paraId="15F74038" w14:textId="77777777" w:rsidR="00D701EA" w:rsidRPr="00EC49EC" w:rsidRDefault="00D701E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9675DE3" w14:textId="51DBF561" w:rsidR="00D701EA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D701EA" w:rsidRPr="00EC49EC" w14:paraId="0BA72F7A" w14:textId="77777777" w:rsidTr="002F0219">
        <w:tc>
          <w:tcPr>
            <w:tcW w:w="9917" w:type="dxa"/>
          </w:tcPr>
          <w:p w14:paraId="503CD9D3" w14:textId="502777CA" w:rsidR="00D701EA" w:rsidRPr="00EC49EC" w:rsidRDefault="00D701EA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Il ROIC del settore farmaceutico è mediamente superiore a quello del settore aereo</w:t>
            </w:r>
            <w:r w:rsidR="00671A44">
              <w:rPr>
                <w:rFonts w:asciiTheme="minorHAnsi" w:hAnsiTheme="minorHAnsi" w:cstheme="minorHAnsi"/>
                <w:sz w:val="16"/>
                <w:szCs w:val="16"/>
              </w:rPr>
              <w:t>. Di conseguenza, la Recordati Farmaceutici avrà una redditività nel 2018 superiore a quella di Ryanair</w:t>
            </w:r>
          </w:p>
        </w:tc>
        <w:tc>
          <w:tcPr>
            <w:tcW w:w="460" w:type="dxa"/>
          </w:tcPr>
          <w:p w14:paraId="497D48EC" w14:textId="77777777" w:rsidR="00D701EA" w:rsidRPr="00EC49EC" w:rsidRDefault="00D701E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66635455" w14:textId="7E617515" w:rsidR="00D701EA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D701EA" w:rsidRPr="00EC49EC" w14:paraId="5B3DD1CB" w14:textId="77777777" w:rsidTr="002F0219">
        <w:tc>
          <w:tcPr>
            <w:tcW w:w="9917" w:type="dxa"/>
          </w:tcPr>
          <w:p w14:paraId="66A5F2C8" w14:textId="7C8CBA9F" w:rsidR="00D701EA" w:rsidRPr="00EC49EC" w:rsidRDefault="00D701EA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La redditività delle imprese è condizionata anche dal grado di concentrazione del settore di appartenenza</w:t>
            </w:r>
          </w:p>
        </w:tc>
        <w:tc>
          <w:tcPr>
            <w:tcW w:w="460" w:type="dxa"/>
          </w:tcPr>
          <w:p w14:paraId="075FE15D" w14:textId="7BD5A794" w:rsidR="00D701EA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0455662F" w14:textId="77777777" w:rsidR="00D701EA" w:rsidRPr="00EC49EC" w:rsidRDefault="00D701E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701EA" w:rsidRPr="00EC49EC" w14:paraId="135559B2" w14:textId="77777777" w:rsidTr="002F0219">
        <w:tc>
          <w:tcPr>
            <w:tcW w:w="9917" w:type="dxa"/>
          </w:tcPr>
          <w:p w14:paraId="362A53C0" w14:textId="0A951581" w:rsidR="00D701EA" w:rsidRPr="00EC49EC" w:rsidRDefault="00D701EA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Le economie di scala </w:t>
            </w:r>
            <w:r w:rsidR="008964D5" w:rsidRPr="00EC49EC">
              <w:rPr>
                <w:rFonts w:asciiTheme="minorHAnsi" w:hAnsiTheme="minorHAnsi" w:cstheme="minorHAnsi"/>
                <w:sz w:val="16"/>
                <w:szCs w:val="16"/>
              </w:rPr>
              <w:t>realizzabili sono anche limitate dalla dimensione del mercato in cui opera l’impresa</w:t>
            </w:r>
          </w:p>
        </w:tc>
        <w:tc>
          <w:tcPr>
            <w:tcW w:w="460" w:type="dxa"/>
          </w:tcPr>
          <w:p w14:paraId="10DBBEE0" w14:textId="4E8AC9D5" w:rsidR="00D701EA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59364DD9" w14:textId="77777777" w:rsidR="00D701EA" w:rsidRPr="00EC49EC" w:rsidRDefault="00D701E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701EA" w:rsidRPr="00EC49EC" w14:paraId="054FD476" w14:textId="77777777" w:rsidTr="002F0219">
        <w:tc>
          <w:tcPr>
            <w:tcW w:w="9917" w:type="dxa"/>
          </w:tcPr>
          <w:p w14:paraId="61DED1FF" w14:textId="2C76DFAA" w:rsidR="00D701EA" w:rsidRPr="00EC49EC" w:rsidRDefault="008964D5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Le e</w:t>
            </w:r>
            <w:r w:rsidR="00D701EA" w:rsidRPr="00EC49EC">
              <w:rPr>
                <w:rFonts w:asciiTheme="minorHAnsi" w:hAnsiTheme="minorHAnsi" w:cstheme="minorHAnsi"/>
                <w:sz w:val="16"/>
                <w:szCs w:val="16"/>
              </w:rPr>
              <w:t>conomie di scopo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sono conseguite </w:t>
            </w:r>
            <w:r w:rsidR="00671A44">
              <w:rPr>
                <w:rFonts w:asciiTheme="minorHAnsi" w:hAnsiTheme="minorHAnsi" w:cstheme="minorHAnsi"/>
                <w:sz w:val="16"/>
                <w:szCs w:val="16"/>
              </w:rPr>
              <w:t>sfruttando le complementarità offerta dalle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cd. produzioni “disgiunte”</w:t>
            </w:r>
          </w:p>
        </w:tc>
        <w:tc>
          <w:tcPr>
            <w:tcW w:w="460" w:type="dxa"/>
          </w:tcPr>
          <w:p w14:paraId="3C2B159A" w14:textId="77777777" w:rsidR="00D701EA" w:rsidRPr="00EC49EC" w:rsidRDefault="00D701E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BE89959" w14:textId="3D6DCDF7" w:rsidR="00D701EA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D701EA" w:rsidRPr="00EC49EC" w14:paraId="46B68256" w14:textId="77777777" w:rsidTr="002F0219">
        <w:tc>
          <w:tcPr>
            <w:tcW w:w="9917" w:type="dxa"/>
          </w:tcPr>
          <w:p w14:paraId="5B1605C3" w14:textId="364976B3" w:rsidR="00D701EA" w:rsidRPr="00EC49EC" w:rsidRDefault="004D526A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Le imprese non sono in concorrenza con i produttori di beni sostitutivi, ma solo con i diretti concorrenti</w:t>
            </w:r>
            <w:r w:rsidR="008964D5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60" w:type="dxa"/>
          </w:tcPr>
          <w:p w14:paraId="76E7E986" w14:textId="77777777" w:rsidR="00D701EA" w:rsidRPr="00EC49EC" w:rsidRDefault="00D701E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9F6A8CD" w14:textId="3883518D" w:rsidR="00D701EA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D701EA" w:rsidRPr="00EC49EC" w14:paraId="0C6BF644" w14:textId="77777777" w:rsidTr="002F0219">
        <w:tc>
          <w:tcPr>
            <w:tcW w:w="9917" w:type="dxa"/>
          </w:tcPr>
          <w:p w14:paraId="2D59A49A" w14:textId="3FF5C4E1" w:rsidR="00D701EA" w:rsidRPr="00EC49EC" w:rsidRDefault="004D526A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Le imprese possono avere una strategia di sostenibilità, attraverso la quale perseguono finalità non solamente economiche</w:t>
            </w:r>
          </w:p>
        </w:tc>
        <w:tc>
          <w:tcPr>
            <w:tcW w:w="460" w:type="dxa"/>
          </w:tcPr>
          <w:p w14:paraId="630C75F2" w14:textId="20DC5961" w:rsidR="00D701EA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7015B920" w14:textId="77777777" w:rsidR="00D701EA" w:rsidRPr="00EC49EC" w:rsidRDefault="00D701E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01530" w:rsidRPr="00EC49EC" w14:paraId="0F6E0EDE" w14:textId="77777777" w:rsidTr="002F0219">
        <w:tc>
          <w:tcPr>
            <w:tcW w:w="9917" w:type="dxa"/>
          </w:tcPr>
          <w:p w14:paraId="2A299B20" w14:textId="45FB8CCD" w:rsidR="00D01530" w:rsidRPr="00EC49EC" w:rsidRDefault="004D526A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I rischi d’impresa </w:t>
            </w:r>
            <w:r w:rsidR="001C1E82" w:rsidRPr="00EC49EC">
              <w:rPr>
                <w:rFonts w:asciiTheme="minorHAnsi" w:hAnsiTheme="minorHAnsi" w:cstheme="minorHAnsi"/>
                <w:sz w:val="16"/>
                <w:szCs w:val="16"/>
              </w:rPr>
              <w:t>sono anche determinati dal contesto economico e competitivo di appartenenza</w:t>
            </w:r>
          </w:p>
        </w:tc>
        <w:tc>
          <w:tcPr>
            <w:tcW w:w="460" w:type="dxa"/>
          </w:tcPr>
          <w:p w14:paraId="1930EB2D" w14:textId="2A8A5C2C" w:rsidR="00D01530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04BADAF1" w14:textId="77777777" w:rsidR="00D01530" w:rsidRPr="00EC49EC" w:rsidRDefault="00D01530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01530" w:rsidRPr="00EC49EC" w14:paraId="4536FBC8" w14:textId="77777777" w:rsidTr="002F0219">
        <w:tc>
          <w:tcPr>
            <w:tcW w:w="9917" w:type="dxa"/>
          </w:tcPr>
          <w:p w14:paraId="64E71F53" w14:textId="6999567F" w:rsidR="00D01530" w:rsidRPr="00EC49EC" w:rsidRDefault="001C1E82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 xml:space="preserve">Con la distribuzione </w:t>
            </w:r>
            <w:proofErr w:type="spellStart"/>
            <w:r w:rsidR="00D01530" w:rsidRPr="00EC49EC">
              <w:rPr>
                <w:rFonts w:asciiTheme="minorHAnsi" w:hAnsiTheme="minorHAnsi" w:cstheme="minorHAnsi"/>
                <w:sz w:val="16"/>
                <w:szCs w:val="16"/>
              </w:rPr>
              <w:t>retail</w:t>
            </w:r>
            <w:proofErr w:type="spellEnd"/>
            <w:r w:rsidR="00D01530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le imprese vendono al cliente finale mentre con la distribuzione </w:t>
            </w:r>
            <w:proofErr w:type="spellStart"/>
            <w:r w:rsidR="00D01530" w:rsidRPr="00EC49EC">
              <w:rPr>
                <w:rFonts w:asciiTheme="minorHAnsi" w:hAnsiTheme="minorHAnsi" w:cstheme="minorHAnsi"/>
                <w:sz w:val="16"/>
                <w:szCs w:val="16"/>
              </w:rPr>
              <w:t>wholesale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vendono ai dettaglianti</w:t>
            </w:r>
          </w:p>
        </w:tc>
        <w:tc>
          <w:tcPr>
            <w:tcW w:w="460" w:type="dxa"/>
          </w:tcPr>
          <w:p w14:paraId="11A99C6E" w14:textId="18FECF71" w:rsidR="00D01530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32E2E34E" w14:textId="77777777" w:rsidR="00D01530" w:rsidRPr="00EC49EC" w:rsidRDefault="00D01530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01530" w:rsidRPr="00EC49EC" w14:paraId="009E36FE" w14:textId="77777777" w:rsidTr="002F0219">
        <w:tc>
          <w:tcPr>
            <w:tcW w:w="9917" w:type="dxa"/>
          </w:tcPr>
          <w:p w14:paraId="14AF25F0" w14:textId="53BF9AA2" w:rsidR="00D01530" w:rsidRPr="00EC49EC" w:rsidRDefault="004D526A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Secondo </w:t>
            </w:r>
            <w:r w:rsidR="008743B0">
              <w:rPr>
                <w:rFonts w:asciiTheme="minorHAnsi" w:hAnsiTheme="minorHAnsi" w:cstheme="minorHAnsi"/>
                <w:sz w:val="16"/>
                <w:szCs w:val="16"/>
              </w:rPr>
              <w:t xml:space="preserve">la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teoria dell’agenzia gli azionisti operano come agenti degli stakeholder, mentre i manager sono gli agenti dei consiglieri di amministrazione.</w:t>
            </w:r>
          </w:p>
        </w:tc>
        <w:tc>
          <w:tcPr>
            <w:tcW w:w="460" w:type="dxa"/>
          </w:tcPr>
          <w:p w14:paraId="1E4F31D8" w14:textId="77777777" w:rsidR="00D01530" w:rsidRPr="00EC49EC" w:rsidRDefault="00D01530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F37F426" w14:textId="06E5DD1C" w:rsidR="00D01530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1C1E82" w:rsidRPr="00EC49EC" w14:paraId="270CCD9E" w14:textId="77777777" w:rsidTr="002F0219">
        <w:tc>
          <w:tcPr>
            <w:tcW w:w="9917" w:type="dxa"/>
          </w:tcPr>
          <w:p w14:paraId="62EC321E" w14:textId="12A5A313" w:rsidR="001C1E82" w:rsidRPr="00EC49EC" w:rsidRDefault="001C1E82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L’</w:t>
            </w: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offshoring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(o delocalizzazione) ha un impatto sulla struttura dei costi più significativo dell’outsourcing</w:t>
            </w:r>
          </w:p>
        </w:tc>
        <w:tc>
          <w:tcPr>
            <w:tcW w:w="460" w:type="dxa"/>
          </w:tcPr>
          <w:p w14:paraId="1A4BA415" w14:textId="77777777" w:rsidR="001C1E82" w:rsidRPr="00EC49EC" w:rsidRDefault="001C1E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62E284C8" w14:textId="3B6033A2" w:rsidR="001C1E82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1C1E82" w:rsidRPr="00EC49EC" w14:paraId="5440A45E" w14:textId="77777777" w:rsidTr="002F0219">
        <w:tc>
          <w:tcPr>
            <w:tcW w:w="9917" w:type="dxa"/>
          </w:tcPr>
          <w:p w14:paraId="32392EBF" w14:textId="5C25E772" w:rsidR="001C1E82" w:rsidRPr="00EC49EC" w:rsidRDefault="00FA7740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 </w:t>
            </w:r>
            <w:r w:rsidR="001C1E82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distretti industriali italiani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hanno una tipica specializzazione manifatturiera (industria leggera)</w:t>
            </w:r>
          </w:p>
        </w:tc>
        <w:tc>
          <w:tcPr>
            <w:tcW w:w="460" w:type="dxa"/>
          </w:tcPr>
          <w:p w14:paraId="56C315E6" w14:textId="74A98F60" w:rsidR="001C1E82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152C0175" w14:textId="77777777" w:rsidR="001C1E82" w:rsidRPr="00EC49EC" w:rsidRDefault="001C1E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80C70" w:rsidRPr="00EC49EC" w14:paraId="399699E9" w14:textId="77777777" w:rsidTr="002F0219">
        <w:tc>
          <w:tcPr>
            <w:tcW w:w="9917" w:type="dxa"/>
          </w:tcPr>
          <w:p w14:paraId="089D40F1" w14:textId="28A20FF6" w:rsidR="00680C70" w:rsidRPr="00EC49EC" w:rsidRDefault="00680C70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Il CCN può essere negativo, specialmente se le dilazioni di pagamento ai fornitori sono molto lunghe e le rotazioni delle scorte sono molto elevate.</w:t>
            </w:r>
          </w:p>
        </w:tc>
        <w:tc>
          <w:tcPr>
            <w:tcW w:w="460" w:type="dxa"/>
          </w:tcPr>
          <w:p w14:paraId="13D10245" w14:textId="27EE3CFA" w:rsidR="00680C70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5450C4B1" w14:textId="77777777" w:rsidR="00680C70" w:rsidRPr="00EC49EC" w:rsidRDefault="00680C70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80C70" w:rsidRPr="00EC49EC" w14:paraId="60E5E765" w14:textId="77777777" w:rsidTr="002F0219">
        <w:tc>
          <w:tcPr>
            <w:tcW w:w="9917" w:type="dxa"/>
          </w:tcPr>
          <w:p w14:paraId="0CB5B801" w14:textId="0514B688" w:rsidR="00680C70" w:rsidRPr="00EC49EC" w:rsidRDefault="00680C70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Il ritorno totale per l’azionista (TRS) cresce al crescere del rapporto di leva finanziaria</w:t>
            </w:r>
          </w:p>
        </w:tc>
        <w:tc>
          <w:tcPr>
            <w:tcW w:w="460" w:type="dxa"/>
          </w:tcPr>
          <w:p w14:paraId="3260A5B4" w14:textId="77777777" w:rsidR="00680C70" w:rsidRPr="00EC49EC" w:rsidRDefault="00680C70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0C1ABBA" w14:textId="79A61A42" w:rsidR="00680C70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80C70" w:rsidRPr="00EC49EC" w14:paraId="47E57D34" w14:textId="77777777" w:rsidTr="002F0219">
        <w:tc>
          <w:tcPr>
            <w:tcW w:w="9917" w:type="dxa"/>
          </w:tcPr>
          <w:p w14:paraId="001665AB" w14:textId="4EAC739C" w:rsidR="00680C70" w:rsidRPr="00EC49EC" w:rsidRDefault="00680C70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Nel business model </w:t>
            </w: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canvas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la “</w:t>
            </w: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value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proposition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” è l’elemento meno importante</w:t>
            </w:r>
          </w:p>
        </w:tc>
        <w:tc>
          <w:tcPr>
            <w:tcW w:w="460" w:type="dxa"/>
          </w:tcPr>
          <w:p w14:paraId="76471155" w14:textId="77777777" w:rsidR="00680C70" w:rsidRPr="00EC49EC" w:rsidRDefault="00680C70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1F70DD46" w14:textId="744A5534" w:rsidR="00680C70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C73F70" w:rsidRPr="00EC49EC" w14:paraId="0FB42ED9" w14:textId="77777777" w:rsidTr="002F0219">
        <w:tc>
          <w:tcPr>
            <w:tcW w:w="9917" w:type="dxa"/>
          </w:tcPr>
          <w:p w14:paraId="08884055" w14:textId="66941B60" w:rsidR="00C73F70" w:rsidRPr="00EC49EC" w:rsidRDefault="00C73F70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L’amministratore delegato può, in </w:t>
            </w:r>
            <w:r w:rsidR="00D03522">
              <w:rPr>
                <w:rFonts w:asciiTheme="minorHAnsi" w:hAnsiTheme="minorHAnsi" w:cstheme="minorHAnsi"/>
                <w:sz w:val="16"/>
                <w:szCs w:val="16"/>
              </w:rPr>
              <w:t>taluni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casi, essere considerato </w:t>
            </w:r>
            <w:r w:rsidR="00D03522">
              <w:rPr>
                <w:rFonts w:asciiTheme="minorHAnsi" w:hAnsiTheme="minorHAnsi" w:cstheme="minorHAnsi"/>
                <w:sz w:val="16"/>
                <w:szCs w:val="16"/>
              </w:rPr>
              <w:t>un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vero e proprio imprenditore</w:t>
            </w:r>
            <w:r w:rsidR="00A06EA3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. Ciò dipenderà anche </w:t>
            </w:r>
            <w:r w:rsidR="00D03522">
              <w:rPr>
                <w:rFonts w:asciiTheme="minorHAnsi" w:hAnsiTheme="minorHAnsi" w:cstheme="minorHAnsi"/>
                <w:sz w:val="16"/>
                <w:szCs w:val="16"/>
              </w:rPr>
              <w:t>dal capitale che ha apportato</w:t>
            </w:r>
            <w:r w:rsidR="00A06EA3" w:rsidRPr="00EC49EC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  <w:tc>
          <w:tcPr>
            <w:tcW w:w="460" w:type="dxa"/>
          </w:tcPr>
          <w:p w14:paraId="6E18A88F" w14:textId="62B39636" w:rsidR="00C73F70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4307722E" w14:textId="77777777" w:rsidR="00C73F70" w:rsidRPr="00EC49EC" w:rsidRDefault="00C73F70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7210EA" w:rsidRPr="00EC49EC" w14:paraId="135FFE56" w14:textId="77777777" w:rsidTr="002F0219">
        <w:tc>
          <w:tcPr>
            <w:tcW w:w="9917" w:type="dxa"/>
          </w:tcPr>
          <w:p w14:paraId="3B729188" w14:textId="4E0D461D" w:rsidR="007210EA" w:rsidRPr="00EC49EC" w:rsidRDefault="007210EA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Data la definizione e la formulazione matematica delle economie di apprendimento, i costi unitari di produzione si riducono al crescere della produzione cumulat</w:t>
            </w:r>
            <w:r w:rsidR="00954BCB">
              <w:rPr>
                <w:rFonts w:asciiTheme="minorHAnsi" w:hAnsiTheme="minorHAnsi" w:cstheme="minorHAnsi"/>
                <w:sz w:val="16"/>
                <w:szCs w:val="16"/>
              </w:rPr>
              <w:t>e. Le curve di costo hanno un asintoto orizzontale al tendere a infinito della produzione cumulata</w:t>
            </w:r>
          </w:p>
        </w:tc>
        <w:tc>
          <w:tcPr>
            <w:tcW w:w="460" w:type="dxa"/>
          </w:tcPr>
          <w:p w14:paraId="3545D9DC" w14:textId="1E968C3B" w:rsidR="007210EA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53C3A363" w14:textId="77777777" w:rsidR="007210EA" w:rsidRPr="00EC49EC" w:rsidRDefault="007210E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03522" w:rsidRPr="00EC49EC" w14:paraId="7E20E676" w14:textId="77777777" w:rsidTr="002F0219">
        <w:tc>
          <w:tcPr>
            <w:tcW w:w="9917" w:type="dxa"/>
          </w:tcPr>
          <w:p w14:paraId="62AD7118" w14:textId="3AF2472D" w:rsidR="00D03522" w:rsidRDefault="008B4BEC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Le economie di apprendimento riguardano il fattore lavoro e pertanto sono influenzate da grado di meccanizzazione delle attività</w:t>
            </w:r>
          </w:p>
        </w:tc>
        <w:tc>
          <w:tcPr>
            <w:tcW w:w="460" w:type="dxa"/>
          </w:tcPr>
          <w:p w14:paraId="32D89F8E" w14:textId="108E7B85" w:rsidR="00D03522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3B6DCB66" w14:textId="77777777" w:rsidR="00D03522" w:rsidRPr="00EC49EC" w:rsidRDefault="00D0352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01530" w:rsidRPr="00EC49EC" w14:paraId="0E31200E" w14:textId="77777777" w:rsidTr="002F0219">
        <w:tc>
          <w:tcPr>
            <w:tcW w:w="9917" w:type="dxa"/>
          </w:tcPr>
          <w:p w14:paraId="1A6FA21A" w14:textId="77A7B0EB" w:rsidR="00101530" w:rsidRDefault="00101530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Le azioni Luxottica sono state di recente acquistate dall’impresa francese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Essilor</w:t>
            </w:r>
            <w:proofErr w:type="spellEnd"/>
            <w:r w:rsidR="00693F9D">
              <w:rPr>
                <w:rFonts w:asciiTheme="minorHAnsi" w:hAnsiTheme="minorHAnsi" w:cstheme="minorHAnsi"/>
                <w:sz w:val="16"/>
                <w:szCs w:val="16"/>
              </w:rPr>
              <w:t xml:space="preserve"> attraverso una offerta pubblica di scambio</w:t>
            </w:r>
          </w:p>
        </w:tc>
        <w:tc>
          <w:tcPr>
            <w:tcW w:w="460" w:type="dxa"/>
          </w:tcPr>
          <w:p w14:paraId="47AA80B5" w14:textId="452546C0" w:rsidR="00101530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7318819C" w14:textId="77777777" w:rsidR="00101530" w:rsidRPr="00EC49EC" w:rsidRDefault="00101530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F0219" w:rsidRPr="00EC49EC" w14:paraId="6560C1FC" w14:textId="77777777" w:rsidTr="002F0219">
        <w:tc>
          <w:tcPr>
            <w:tcW w:w="9917" w:type="dxa"/>
          </w:tcPr>
          <w:p w14:paraId="7AF2FD2D" w14:textId="73FDB149" w:rsidR="002F0219" w:rsidRDefault="002F0219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Le principali imprese italiane dell’arredamento sono più piccole </w:t>
            </w:r>
            <w:r w:rsidR="00AD2C55">
              <w:rPr>
                <w:rFonts w:asciiTheme="minorHAnsi" w:hAnsiTheme="minorHAnsi" w:cstheme="minorHAnsi"/>
                <w:sz w:val="16"/>
                <w:szCs w:val="16"/>
              </w:rPr>
              <w:t>delle maggiori imprese italiane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del settore alimentare anche perché nel settore dell’arredamento ci sono meno economie di scala</w:t>
            </w:r>
          </w:p>
        </w:tc>
        <w:tc>
          <w:tcPr>
            <w:tcW w:w="460" w:type="dxa"/>
          </w:tcPr>
          <w:p w14:paraId="56E7AB4C" w14:textId="42181EBF" w:rsidR="002F0219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10A35782" w14:textId="77777777" w:rsidR="002F0219" w:rsidRPr="00EC49EC" w:rsidRDefault="002F021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F0219" w:rsidRPr="00EC49EC" w14:paraId="2394B87E" w14:textId="77777777" w:rsidTr="002F0219">
        <w:tc>
          <w:tcPr>
            <w:tcW w:w="9917" w:type="dxa"/>
          </w:tcPr>
          <w:p w14:paraId="732FED5F" w14:textId="2DEB7143" w:rsidR="002F0219" w:rsidRDefault="00AD2C55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La leva operativa può essere inferiore alla leva dei costi del lavoro. Questo non significa che, per migliorare il profitto, sia preferibile tagliare gli stipendi rispetto ad aumentare le vendite</w:t>
            </w:r>
          </w:p>
        </w:tc>
        <w:tc>
          <w:tcPr>
            <w:tcW w:w="460" w:type="dxa"/>
          </w:tcPr>
          <w:p w14:paraId="10B2586A" w14:textId="32606DEA" w:rsidR="002F0219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24F69A93" w14:textId="77777777" w:rsidR="002F0219" w:rsidRPr="00EC49EC" w:rsidRDefault="002F021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D2C55" w:rsidRPr="00EC49EC" w14:paraId="1DFFED17" w14:textId="77777777" w:rsidTr="002F0219">
        <w:tc>
          <w:tcPr>
            <w:tcW w:w="9917" w:type="dxa"/>
          </w:tcPr>
          <w:p w14:paraId="18CA5625" w14:textId="043E70FA" w:rsidR="00AD2C55" w:rsidRDefault="00AD2C55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Gli anticipi da clienti aumentano il CCN</w:t>
            </w:r>
          </w:p>
        </w:tc>
        <w:tc>
          <w:tcPr>
            <w:tcW w:w="460" w:type="dxa"/>
          </w:tcPr>
          <w:p w14:paraId="25579A97" w14:textId="77777777" w:rsidR="00AD2C55" w:rsidRPr="00EC49EC" w:rsidRDefault="00AD2C55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CD261D5" w14:textId="38656C65" w:rsidR="00AD2C55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E14D1C" w:rsidRPr="00EC49EC" w14:paraId="615A2B34" w14:textId="77777777" w:rsidTr="002F0219">
        <w:tc>
          <w:tcPr>
            <w:tcW w:w="9917" w:type="dxa"/>
          </w:tcPr>
          <w:p w14:paraId="4199BA28" w14:textId="4525AF77" w:rsidR="00E14D1C" w:rsidRDefault="001677EE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Il settore degli operatori di servizi di telefonia mobile in Italia è </w:t>
            </w:r>
            <w:r w:rsidR="00F42297">
              <w:rPr>
                <w:rFonts w:asciiTheme="minorHAnsi" w:hAnsiTheme="minorHAnsi" w:cstheme="minorHAnsi"/>
                <w:sz w:val="16"/>
                <w:szCs w:val="16"/>
              </w:rPr>
              <w:t xml:space="preserve">da sempre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estremamente frammentato</w:t>
            </w:r>
            <w:r w:rsidR="00F42297">
              <w:rPr>
                <w:rFonts w:asciiTheme="minorHAnsi" w:hAnsiTheme="minorHAnsi" w:cstheme="minorHAnsi"/>
                <w:sz w:val="16"/>
                <w:szCs w:val="16"/>
              </w:rPr>
              <w:t xml:space="preserve">. Ciò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ha reso impraticabili </w:t>
            </w:r>
            <w:r w:rsidR="00F42297">
              <w:rPr>
                <w:rFonts w:asciiTheme="minorHAnsi" w:hAnsiTheme="minorHAnsi" w:cstheme="minorHAnsi"/>
                <w:sz w:val="16"/>
                <w:szCs w:val="16"/>
              </w:rPr>
              <w:t xml:space="preserve">gli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accordi sui prezzi  </w:t>
            </w:r>
          </w:p>
        </w:tc>
        <w:tc>
          <w:tcPr>
            <w:tcW w:w="460" w:type="dxa"/>
          </w:tcPr>
          <w:p w14:paraId="41875AC9" w14:textId="77777777" w:rsidR="00E14D1C" w:rsidRPr="00EC49EC" w:rsidRDefault="00E14D1C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00B2AB16" w14:textId="25FC35FC" w:rsidR="00E14D1C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7A5628" w:rsidRPr="00EC49EC" w14:paraId="6F67E477" w14:textId="77777777" w:rsidTr="002F0219">
        <w:tc>
          <w:tcPr>
            <w:tcW w:w="9917" w:type="dxa"/>
          </w:tcPr>
          <w:p w14:paraId="00309AF1" w14:textId="297CBC8F" w:rsidR="007A5628" w:rsidRDefault="007A5628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La concentrazione del settore può dipendere dalle economie di scala. Più economie di scala realizzabili, maggiore la dimensione delle imprese e quindi maggiore la concentrazione.</w:t>
            </w:r>
          </w:p>
        </w:tc>
        <w:tc>
          <w:tcPr>
            <w:tcW w:w="460" w:type="dxa"/>
          </w:tcPr>
          <w:p w14:paraId="63B4B6E3" w14:textId="57AFCF79" w:rsidR="007A5628" w:rsidRPr="00EC49EC" w:rsidRDefault="00B81AFB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26D90A2B" w14:textId="77777777" w:rsidR="007A5628" w:rsidRPr="00EC49EC" w:rsidRDefault="007A5628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1C6BE9E3" w14:textId="72F86841" w:rsidR="003D0E7B" w:rsidRDefault="003D0E7B" w:rsidP="003D0E7B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4D88854F" w14:textId="4A0B208A" w:rsidR="008F2D0F" w:rsidRPr="00EC49EC" w:rsidRDefault="00220C2F" w:rsidP="00C77BEA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  <w:sz w:val="16"/>
          <w:szCs w:val="16"/>
        </w:rPr>
      </w:pPr>
      <w:r w:rsidRPr="00EC49EC">
        <w:rPr>
          <w:rFonts w:asciiTheme="minorHAnsi" w:hAnsiTheme="minorHAnsi" w:cstheme="minorHAnsi"/>
          <w:b/>
          <w:sz w:val="16"/>
          <w:szCs w:val="16"/>
        </w:rPr>
        <w:t>IL CASO LUXOTTICA</w:t>
      </w:r>
      <w:r w:rsidRPr="00EC49EC">
        <w:rPr>
          <w:rFonts w:asciiTheme="minorHAnsi" w:hAnsiTheme="minorHAnsi" w:cstheme="minorHAnsi"/>
          <w:sz w:val="16"/>
          <w:szCs w:val="16"/>
        </w:rPr>
        <w:t>. I seguenti valori sono desunti dal bilancio separato (capogruppo) di Luxottica.</w:t>
      </w:r>
    </w:p>
    <w:p w14:paraId="0F3F2D2E" w14:textId="05B4F87F" w:rsidR="008F2D0F" w:rsidRPr="00EC49EC" w:rsidRDefault="008F2D0F" w:rsidP="00534F75">
      <w:pPr>
        <w:rPr>
          <w:rFonts w:asciiTheme="minorHAnsi" w:hAnsiTheme="minorHAnsi" w:cstheme="minorHAnsi"/>
          <w:sz w:val="16"/>
          <w:szCs w:val="16"/>
        </w:rPr>
      </w:pPr>
    </w:p>
    <w:p w14:paraId="0AADD381" w14:textId="03001FFE" w:rsidR="008F2D0F" w:rsidRPr="00EC49EC" w:rsidRDefault="008F2D0F" w:rsidP="00534F75">
      <w:pPr>
        <w:rPr>
          <w:rFonts w:asciiTheme="minorHAnsi" w:hAnsiTheme="minorHAnsi" w:cstheme="minorHAnsi"/>
          <w:sz w:val="16"/>
          <w:szCs w:val="16"/>
        </w:rPr>
      </w:pPr>
      <w:r w:rsidRPr="00EC49EC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5B43FD4E" wp14:editId="47714F0C">
            <wp:extent cx="2880698" cy="895217"/>
            <wp:effectExtent l="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ta 2018-12-14 alle 10.53.03.png"/>
                    <pic:cNvPicPr/>
                  </pic:nvPicPr>
                  <pic:blipFill rotWithShape="1">
                    <a:blip r:embed="rId8"/>
                    <a:srcRect l="34421" t="50757" r="35983" b="34528"/>
                    <a:stretch/>
                  </pic:blipFill>
                  <pic:spPr bwMode="auto">
                    <a:xfrm>
                      <a:off x="0" y="0"/>
                      <a:ext cx="3003857" cy="93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AAB">
        <w:rPr>
          <w:rFonts w:asciiTheme="minorHAnsi" w:hAnsiTheme="minorHAnsi" w:cstheme="minorHAnsi"/>
          <w:sz w:val="16"/>
          <w:szCs w:val="16"/>
        </w:rPr>
        <w:tab/>
      </w:r>
    </w:p>
    <w:p w14:paraId="19B2B7FA" w14:textId="77777777" w:rsidR="00E13AAB" w:rsidRDefault="00E13AAB" w:rsidP="00E13AAB">
      <w:pPr>
        <w:pStyle w:val="Paragrafoelenco"/>
        <w:ind w:left="0"/>
        <w:rPr>
          <w:rFonts w:asciiTheme="minorHAnsi" w:hAnsiTheme="minorHAnsi" w:cstheme="minorHAnsi"/>
          <w:sz w:val="16"/>
          <w:szCs w:val="16"/>
        </w:rPr>
      </w:pPr>
    </w:p>
    <w:p w14:paraId="75A9900B" w14:textId="36D80E8B" w:rsidR="008F2D0F" w:rsidRPr="00EC49EC" w:rsidRDefault="00220C2F" w:rsidP="00E13AAB">
      <w:pPr>
        <w:pStyle w:val="Paragrafoelenco"/>
        <w:ind w:left="0"/>
        <w:rPr>
          <w:rFonts w:asciiTheme="minorHAnsi" w:hAnsiTheme="minorHAnsi" w:cstheme="minorHAnsi"/>
          <w:b/>
          <w:sz w:val="16"/>
          <w:szCs w:val="16"/>
        </w:rPr>
      </w:pPr>
      <w:r w:rsidRPr="00EC49EC">
        <w:rPr>
          <w:rFonts w:asciiTheme="minorHAnsi" w:hAnsiTheme="minorHAnsi" w:cstheme="minorHAnsi"/>
          <w:sz w:val="16"/>
          <w:szCs w:val="16"/>
        </w:rPr>
        <w:t>Dai dati sopra riportati si può affermare che</w:t>
      </w:r>
      <w:r w:rsidR="00D227B7" w:rsidRPr="00EC49EC">
        <w:rPr>
          <w:rFonts w:asciiTheme="minorHAnsi" w:hAnsiTheme="minorHAnsi" w:cstheme="minorHAnsi"/>
          <w:sz w:val="16"/>
          <w:szCs w:val="16"/>
        </w:rPr>
        <w:t>: (</w:t>
      </w:r>
      <w:r w:rsidR="00D227B7" w:rsidRPr="00EC49EC">
        <w:rPr>
          <w:rFonts w:asciiTheme="minorHAnsi" w:hAnsiTheme="minorHAnsi" w:cstheme="minorHAnsi"/>
          <w:b/>
          <w:sz w:val="16"/>
          <w:szCs w:val="16"/>
        </w:rPr>
        <w:t>NB: SONO PREVISTE PENALIZZAZIONI PER LE RISPOSTE SBAGLIATE)</w:t>
      </w:r>
    </w:p>
    <w:tbl>
      <w:tblPr>
        <w:tblStyle w:val="Grigliatabella"/>
        <w:tblW w:w="10802" w:type="dxa"/>
        <w:tblInd w:w="-459" w:type="dxa"/>
        <w:tblLook w:val="04A0" w:firstRow="1" w:lastRow="0" w:firstColumn="1" w:lastColumn="0" w:noHBand="0" w:noVBand="1"/>
      </w:tblPr>
      <w:tblGrid>
        <w:gridCol w:w="9917"/>
        <w:gridCol w:w="460"/>
        <w:gridCol w:w="425"/>
      </w:tblGrid>
      <w:tr w:rsidR="00220C2F" w:rsidRPr="00EC49EC" w14:paraId="2CBFA59A" w14:textId="77777777" w:rsidTr="00C63621">
        <w:tc>
          <w:tcPr>
            <w:tcW w:w="9917" w:type="dxa"/>
          </w:tcPr>
          <w:p w14:paraId="044417B7" w14:textId="77777777" w:rsidR="00220C2F" w:rsidRPr="00EC49EC" w:rsidRDefault="00220C2F" w:rsidP="006B3E2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14:paraId="434E80E0" w14:textId="77777777" w:rsidR="00220C2F" w:rsidRPr="00EC49EC" w:rsidRDefault="00220C2F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V</w:t>
            </w:r>
          </w:p>
        </w:tc>
        <w:tc>
          <w:tcPr>
            <w:tcW w:w="425" w:type="dxa"/>
          </w:tcPr>
          <w:p w14:paraId="35B2F076" w14:textId="77777777" w:rsidR="00220C2F" w:rsidRPr="00EC49EC" w:rsidRDefault="00220C2F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F</w:t>
            </w:r>
          </w:p>
        </w:tc>
      </w:tr>
      <w:tr w:rsidR="00101530" w:rsidRPr="00EC49EC" w14:paraId="2BDFC85A" w14:textId="77777777" w:rsidTr="00C63621">
        <w:tc>
          <w:tcPr>
            <w:tcW w:w="9917" w:type="dxa"/>
          </w:tcPr>
          <w:p w14:paraId="4D2C0E70" w14:textId="28EFEF19" w:rsidR="00101530" w:rsidRPr="00EC49EC" w:rsidRDefault="00101530" w:rsidP="006B3E2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Le vendite sono principalmente realizzate in Italia</w:t>
            </w:r>
          </w:p>
        </w:tc>
        <w:tc>
          <w:tcPr>
            <w:tcW w:w="460" w:type="dxa"/>
          </w:tcPr>
          <w:p w14:paraId="2E32CCC2" w14:textId="77777777" w:rsidR="00101530" w:rsidRPr="00EC49EC" w:rsidRDefault="00101530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6DE601CB" w14:textId="0EB74760" w:rsidR="00101530" w:rsidRPr="00EC49EC" w:rsidRDefault="00B81AFB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220C2F" w:rsidRPr="00EC49EC" w14:paraId="1B146660" w14:textId="77777777" w:rsidTr="00C63621">
        <w:tc>
          <w:tcPr>
            <w:tcW w:w="9917" w:type="dxa"/>
          </w:tcPr>
          <w:p w14:paraId="4F40CA67" w14:textId="2C6B0EC3" w:rsidR="00220C2F" w:rsidRPr="00EC49EC" w:rsidRDefault="00220C2F" w:rsidP="006B3E2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La variazione delle vendite di prodotti finiti tra il 2016 e il 2017 corrisponde alla variazione delle rimanenze di prodotti finiti</w:t>
            </w:r>
          </w:p>
        </w:tc>
        <w:tc>
          <w:tcPr>
            <w:tcW w:w="460" w:type="dxa"/>
          </w:tcPr>
          <w:p w14:paraId="03A1B9DF" w14:textId="77777777" w:rsidR="00220C2F" w:rsidRPr="00EC49EC" w:rsidRDefault="00220C2F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6E645B6D" w14:textId="2839EF5D" w:rsidR="00220C2F" w:rsidRPr="00EC49EC" w:rsidRDefault="00B81AFB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220C2F" w:rsidRPr="00EC49EC" w14:paraId="33E07F8D" w14:textId="77777777" w:rsidTr="00C63621">
        <w:tc>
          <w:tcPr>
            <w:tcW w:w="9917" w:type="dxa"/>
          </w:tcPr>
          <w:p w14:paraId="78A83B6D" w14:textId="7A9474F0" w:rsidR="00220C2F" w:rsidRPr="00EC49EC" w:rsidRDefault="004B4400" w:rsidP="006B3E2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Anche la capogruppo Luxottica vende montature per occhiali. Non è quindi una “pura” holding di partecipazioni</w:t>
            </w:r>
          </w:p>
        </w:tc>
        <w:tc>
          <w:tcPr>
            <w:tcW w:w="460" w:type="dxa"/>
          </w:tcPr>
          <w:p w14:paraId="68FCBA88" w14:textId="51A0932F" w:rsidR="00220C2F" w:rsidRPr="00EC49EC" w:rsidRDefault="00B81AFB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428CF003" w14:textId="77777777" w:rsidR="00220C2F" w:rsidRPr="00EC49EC" w:rsidRDefault="00220C2F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20C2F" w:rsidRPr="00EC49EC" w14:paraId="199B80EC" w14:textId="77777777" w:rsidTr="00C63621">
        <w:tc>
          <w:tcPr>
            <w:tcW w:w="9917" w:type="dxa"/>
          </w:tcPr>
          <w:p w14:paraId="468A239B" w14:textId="71F8A887" w:rsidR="00220C2F" w:rsidRPr="00EC49EC" w:rsidRDefault="00671A44" w:rsidP="006B3E2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Di regola,</w:t>
            </w:r>
            <w:r w:rsidR="004B4400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i ricavi di vendita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sono</w:t>
            </w:r>
            <w:r w:rsidR="004B4400"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inferiori al valore della produzione</w:t>
            </w:r>
          </w:p>
        </w:tc>
        <w:tc>
          <w:tcPr>
            <w:tcW w:w="460" w:type="dxa"/>
          </w:tcPr>
          <w:p w14:paraId="3C84D3EA" w14:textId="77777777" w:rsidR="00220C2F" w:rsidRPr="00EC49EC" w:rsidRDefault="00220C2F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EC29358" w14:textId="183B4818" w:rsidR="00220C2F" w:rsidRPr="00EC49EC" w:rsidRDefault="00B81AFB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220C2F" w:rsidRPr="00EC49EC" w14:paraId="0D139108" w14:textId="77777777" w:rsidTr="00C63621">
        <w:tc>
          <w:tcPr>
            <w:tcW w:w="9917" w:type="dxa"/>
          </w:tcPr>
          <w:p w14:paraId="7DAD8B10" w14:textId="64B0410E" w:rsidR="00220C2F" w:rsidRPr="00EC49EC" w:rsidRDefault="00D227B7" w:rsidP="006B3E2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Le vendite di accessori potrebbero riguardare, ad esempio, gli astucci porta-occhiali</w:t>
            </w:r>
          </w:p>
        </w:tc>
        <w:tc>
          <w:tcPr>
            <w:tcW w:w="460" w:type="dxa"/>
          </w:tcPr>
          <w:p w14:paraId="05BCE0E6" w14:textId="35498847" w:rsidR="00220C2F" w:rsidRPr="00EC49EC" w:rsidRDefault="00B81AFB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3A0C833D" w14:textId="77777777" w:rsidR="00220C2F" w:rsidRPr="00EC49EC" w:rsidRDefault="00220C2F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20C2F" w:rsidRPr="00EC49EC" w14:paraId="6EF75D23" w14:textId="77777777" w:rsidTr="00C63621">
        <w:tc>
          <w:tcPr>
            <w:tcW w:w="9917" w:type="dxa"/>
          </w:tcPr>
          <w:p w14:paraId="42AF9987" w14:textId="76694BCF" w:rsidR="00220C2F" w:rsidRPr="00EC49EC" w:rsidRDefault="00D227B7" w:rsidP="006B3E2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Il tasso di crescita delle vendite tra il 2016 e il 2017 è stato del 2 per mille</w:t>
            </w:r>
          </w:p>
        </w:tc>
        <w:tc>
          <w:tcPr>
            <w:tcW w:w="460" w:type="dxa"/>
          </w:tcPr>
          <w:p w14:paraId="65A19DAB" w14:textId="77777777" w:rsidR="00220C2F" w:rsidRPr="00EC49EC" w:rsidRDefault="00220C2F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042A89DC" w14:textId="60FDD12D" w:rsidR="00220C2F" w:rsidRPr="00EC49EC" w:rsidRDefault="00B81AFB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</w:tbl>
    <w:p w14:paraId="6CE94E79" w14:textId="4D746221" w:rsidR="008F2D0F" w:rsidRPr="00EC49EC" w:rsidRDefault="008F2D0F" w:rsidP="00534F75">
      <w:pPr>
        <w:rPr>
          <w:rFonts w:asciiTheme="minorHAnsi" w:hAnsiTheme="minorHAnsi" w:cstheme="minorHAnsi"/>
          <w:sz w:val="16"/>
          <w:szCs w:val="16"/>
        </w:rPr>
      </w:pPr>
    </w:p>
    <w:p w14:paraId="04E574AB" w14:textId="7C40B035" w:rsidR="008F2D0F" w:rsidRPr="00EC49EC" w:rsidRDefault="008F2D0F" w:rsidP="00534F75">
      <w:pPr>
        <w:rPr>
          <w:rFonts w:asciiTheme="minorHAnsi" w:hAnsiTheme="minorHAnsi" w:cstheme="minorHAnsi"/>
          <w:sz w:val="16"/>
          <w:szCs w:val="16"/>
        </w:rPr>
      </w:pPr>
      <w:r w:rsidRPr="00EC49EC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10F7E0F7" wp14:editId="37ED603C">
            <wp:extent cx="2973399" cy="20130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ta 2018-12-14 alle 10.50.10.png"/>
                    <pic:cNvPicPr/>
                  </pic:nvPicPr>
                  <pic:blipFill rotWithShape="1">
                    <a:blip r:embed="rId9"/>
                    <a:srcRect l="34414" t="32072" r="36122" b="36013"/>
                    <a:stretch/>
                  </pic:blipFill>
                  <pic:spPr bwMode="auto">
                    <a:xfrm>
                      <a:off x="0" y="0"/>
                      <a:ext cx="2994975" cy="202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61504" w14:textId="77777777" w:rsidR="00E13AAB" w:rsidRDefault="00E13AAB" w:rsidP="00E13AAB">
      <w:pPr>
        <w:rPr>
          <w:rFonts w:asciiTheme="minorHAnsi" w:hAnsiTheme="minorHAnsi" w:cstheme="minorHAnsi"/>
          <w:sz w:val="16"/>
          <w:szCs w:val="16"/>
        </w:rPr>
      </w:pPr>
    </w:p>
    <w:p w14:paraId="627E70E7" w14:textId="263B3E69" w:rsidR="00D227B7" w:rsidRPr="00E13AAB" w:rsidRDefault="00220C2F" w:rsidP="00E13AAB">
      <w:pPr>
        <w:rPr>
          <w:rFonts w:asciiTheme="minorHAnsi" w:hAnsiTheme="minorHAnsi" w:cstheme="minorHAnsi"/>
          <w:b/>
          <w:sz w:val="16"/>
          <w:szCs w:val="16"/>
        </w:rPr>
      </w:pPr>
      <w:r w:rsidRPr="00E13AAB">
        <w:rPr>
          <w:rFonts w:asciiTheme="minorHAnsi" w:hAnsiTheme="minorHAnsi" w:cstheme="minorHAnsi"/>
          <w:sz w:val="16"/>
          <w:szCs w:val="16"/>
        </w:rPr>
        <w:t>La tabella sopra riporta i costi di servizi della capogruppo Luxottica. Dai dati sopra riportati si può affermare che:</w:t>
      </w:r>
      <w:r w:rsidR="00D227B7" w:rsidRPr="00E13AAB">
        <w:rPr>
          <w:rFonts w:asciiTheme="minorHAnsi" w:hAnsiTheme="minorHAnsi" w:cstheme="minorHAnsi"/>
          <w:sz w:val="16"/>
          <w:szCs w:val="16"/>
        </w:rPr>
        <w:t xml:space="preserve"> (</w:t>
      </w:r>
      <w:r w:rsidR="00D227B7" w:rsidRPr="00E13AAB">
        <w:rPr>
          <w:rFonts w:asciiTheme="minorHAnsi" w:hAnsiTheme="minorHAnsi" w:cstheme="minorHAnsi"/>
          <w:b/>
          <w:sz w:val="16"/>
          <w:szCs w:val="16"/>
        </w:rPr>
        <w:t>NB: SONO PREVISTE PENALIZZAZIONI PER LE RISPOSTE SBAGLIATE)</w:t>
      </w:r>
    </w:p>
    <w:p w14:paraId="405D48A6" w14:textId="2728C79C" w:rsidR="00220C2F" w:rsidRPr="00EC49EC" w:rsidRDefault="00220C2F" w:rsidP="00534F75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Grigliatabella"/>
        <w:tblW w:w="10802" w:type="dxa"/>
        <w:tblInd w:w="-459" w:type="dxa"/>
        <w:tblLook w:val="04A0" w:firstRow="1" w:lastRow="0" w:firstColumn="1" w:lastColumn="0" w:noHBand="0" w:noVBand="1"/>
      </w:tblPr>
      <w:tblGrid>
        <w:gridCol w:w="9917"/>
        <w:gridCol w:w="460"/>
        <w:gridCol w:w="425"/>
      </w:tblGrid>
      <w:tr w:rsidR="00220C2F" w:rsidRPr="00EC49EC" w14:paraId="65E126A5" w14:textId="77777777" w:rsidTr="00C63621">
        <w:tc>
          <w:tcPr>
            <w:tcW w:w="9917" w:type="dxa"/>
          </w:tcPr>
          <w:p w14:paraId="64CB0442" w14:textId="77777777" w:rsidR="00220C2F" w:rsidRPr="00EC49EC" w:rsidRDefault="00220C2F" w:rsidP="006B3E2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14:paraId="5B6F3BA1" w14:textId="77777777" w:rsidR="00220C2F" w:rsidRPr="00EC49EC" w:rsidRDefault="00220C2F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V</w:t>
            </w:r>
          </w:p>
        </w:tc>
        <w:tc>
          <w:tcPr>
            <w:tcW w:w="425" w:type="dxa"/>
          </w:tcPr>
          <w:p w14:paraId="554F7FA8" w14:textId="77777777" w:rsidR="00220C2F" w:rsidRPr="00EC49EC" w:rsidRDefault="00220C2F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F</w:t>
            </w:r>
          </w:p>
        </w:tc>
      </w:tr>
      <w:tr w:rsidR="00220C2F" w:rsidRPr="00EC49EC" w14:paraId="5B5C09E3" w14:textId="77777777" w:rsidTr="00C63621">
        <w:tc>
          <w:tcPr>
            <w:tcW w:w="9917" w:type="dxa"/>
            <w:vAlign w:val="center"/>
          </w:tcPr>
          <w:p w14:paraId="09948740" w14:textId="75B21CE2" w:rsidR="00220C2F" w:rsidRPr="00EC49EC" w:rsidRDefault="004B4400" w:rsidP="004B4400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La capogruppo non sostiene costi di pubblicità</w:t>
            </w:r>
          </w:p>
        </w:tc>
        <w:tc>
          <w:tcPr>
            <w:tcW w:w="460" w:type="dxa"/>
          </w:tcPr>
          <w:p w14:paraId="221546AB" w14:textId="77777777" w:rsidR="00220C2F" w:rsidRPr="00EC49EC" w:rsidRDefault="00220C2F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544CC3D" w14:textId="044E8CD5" w:rsidR="00220C2F" w:rsidRPr="00EC49EC" w:rsidRDefault="00B81AFB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220C2F" w:rsidRPr="00EC49EC" w14:paraId="73EC681A" w14:textId="77777777" w:rsidTr="00C63621">
        <w:tc>
          <w:tcPr>
            <w:tcW w:w="9917" w:type="dxa"/>
          </w:tcPr>
          <w:p w14:paraId="74F43F79" w14:textId="1AFD4FD8" w:rsidR="00220C2F" w:rsidRPr="00EC49EC" w:rsidRDefault="004B4400" w:rsidP="006B3E2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I costi di servizi hanno, nel loro complesso, una prevalente natura di costo affondato</w:t>
            </w:r>
          </w:p>
        </w:tc>
        <w:tc>
          <w:tcPr>
            <w:tcW w:w="460" w:type="dxa"/>
          </w:tcPr>
          <w:p w14:paraId="59340861" w14:textId="77777777" w:rsidR="00220C2F" w:rsidRPr="00EC49EC" w:rsidRDefault="00220C2F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C326228" w14:textId="547D86EB" w:rsidR="00220C2F" w:rsidRPr="00EC49EC" w:rsidRDefault="00B81AFB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220C2F" w:rsidRPr="00EC49EC" w14:paraId="2BF50F99" w14:textId="77777777" w:rsidTr="00C63621">
        <w:tc>
          <w:tcPr>
            <w:tcW w:w="9917" w:type="dxa"/>
          </w:tcPr>
          <w:p w14:paraId="4F62A9E7" w14:textId="7D5EAE3A" w:rsidR="00220C2F" w:rsidRPr="00EC49EC" w:rsidRDefault="004B4400" w:rsidP="006B3E2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Tutti i costi sono variati tra il 2016 e il 2017 e quindi tutti i costi sono variabili</w:t>
            </w:r>
          </w:p>
        </w:tc>
        <w:tc>
          <w:tcPr>
            <w:tcW w:w="460" w:type="dxa"/>
          </w:tcPr>
          <w:p w14:paraId="171CD185" w14:textId="77777777" w:rsidR="00220C2F" w:rsidRPr="00EC49EC" w:rsidRDefault="00220C2F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79EA38C" w14:textId="6EADC068" w:rsidR="00220C2F" w:rsidRPr="00EC49EC" w:rsidRDefault="00B81AFB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220C2F" w:rsidRPr="00EC49EC" w14:paraId="0BA67FE6" w14:textId="77777777" w:rsidTr="00C63621">
        <w:tc>
          <w:tcPr>
            <w:tcW w:w="9917" w:type="dxa"/>
          </w:tcPr>
          <w:p w14:paraId="73641CF9" w14:textId="496B479D" w:rsidR="00220C2F" w:rsidRPr="00EC49EC" w:rsidRDefault="004B4400" w:rsidP="006B3E2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L’assenza di costi di confezionamento nel 2017 potrebbe indicare una “internalizzazione” di questa attività, precedentemente svolta all’esterno dell’impresa</w:t>
            </w:r>
          </w:p>
        </w:tc>
        <w:tc>
          <w:tcPr>
            <w:tcW w:w="460" w:type="dxa"/>
          </w:tcPr>
          <w:p w14:paraId="62B865BB" w14:textId="1ABB4A39" w:rsidR="00220C2F" w:rsidRPr="00EC49EC" w:rsidRDefault="00B81AFB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572398B7" w14:textId="77777777" w:rsidR="00220C2F" w:rsidRPr="00EC49EC" w:rsidRDefault="00220C2F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20C2F" w:rsidRPr="00EC49EC" w14:paraId="4E861864" w14:textId="77777777" w:rsidTr="00C63621">
        <w:tc>
          <w:tcPr>
            <w:tcW w:w="9917" w:type="dxa"/>
          </w:tcPr>
          <w:p w14:paraId="0D853EC0" w14:textId="239C75E2" w:rsidR="00220C2F" w:rsidRPr="00EC49EC" w:rsidRDefault="004B4400" w:rsidP="006B3E2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I costi di marketing comprendono i costi del lavoro sostenuti dalla capogruppo per gestire i negozi di ottica</w:t>
            </w:r>
          </w:p>
        </w:tc>
        <w:tc>
          <w:tcPr>
            <w:tcW w:w="460" w:type="dxa"/>
          </w:tcPr>
          <w:p w14:paraId="4BC4F4F6" w14:textId="77777777" w:rsidR="00220C2F" w:rsidRPr="00EC49EC" w:rsidRDefault="00220C2F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DF65775" w14:textId="1E1B2AAD" w:rsidR="00220C2F" w:rsidRPr="00EC49EC" w:rsidRDefault="00B81AFB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220C2F" w:rsidRPr="00EC49EC" w14:paraId="14763FC1" w14:textId="77777777" w:rsidTr="00C63621">
        <w:tc>
          <w:tcPr>
            <w:tcW w:w="9917" w:type="dxa"/>
          </w:tcPr>
          <w:p w14:paraId="09629BF5" w14:textId="6254AAF2" w:rsidR="00220C2F" w:rsidRPr="00EC49EC" w:rsidRDefault="00220C2F" w:rsidP="006B3E2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I “costi per servizi” </w:t>
            </w:r>
            <w:r w:rsidR="004B4400" w:rsidRPr="00EC49EC">
              <w:rPr>
                <w:rFonts w:asciiTheme="minorHAnsi" w:hAnsiTheme="minorHAnsi" w:cstheme="minorHAnsi"/>
                <w:sz w:val="16"/>
                <w:szCs w:val="16"/>
              </w:rPr>
              <w:t>sono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sia fissi che variabili</w:t>
            </w:r>
          </w:p>
        </w:tc>
        <w:tc>
          <w:tcPr>
            <w:tcW w:w="460" w:type="dxa"/>
          </w:tcPr>
          <w:p w14:paraId="2705C180" w14:textId="1340EAA5" w:rsidR="00220C2F" w:rsidRPr="00EC49EC" w:rsidRDefault="00B81AFB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22DD0785" w14:textId="77777777" w:rsidR="00220C2F" w:rsidRPr="00EC49EC" w:rsidRDefault="00220C2F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20C2F" w:rsidRPr="00EC49EC" w14:paraId="74A965C8" w14:textId="77777777" w:rsidTr="00C63621">
        <w:tc>
          <w:tcPr>
            <w:tcW w:w="9917" w:type="dxa"/>
          </w:tcPr>
          <w:p w14:paraId="177878B4" w14:textId="5F4E8AFC" w:rsidR="00220C2F" w:rsidRPr="00EC49EC" w:rsidRDefault="004B4400" w:rsidP="006B3E2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I “costi per automezzi” possono riguardare l’acquisto di servizi relativi agli automezzi di proprietà dell’impresa</w:t>
            </w:r>
          </w:p>
        </w:tc>
        <w:tc>
          <w:tcPr>
            <w:tcW w:w="460" w:type="dxa"/>
          </w:tcPr>
          <w:p w14:paraId="03BB3D9A" w14:textId="3C766D78" w:rsidR="00220C2F" w:rsidRPr="00EC49EC" w:rsidRDefault="00B81AFB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4136F6DD" w14:textId="77777777" w:rsidR="00220C2F" w:rsidRPr="00EC49EC" w:rsidRDefault="00220C2F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20C2F" w:rsidRPr="00EC49EC" w14:paraId="2BD0BCD6" w14:textId="77777777" w:rsidTr="00C63621">
        <w:tc>
          <w:tcPr>
            <w:tcW w:w="9917" w:type="dxa"/>
          </w:tcPr>
          <w:p w14:paraId="21B2A045" w14:textId="075DD5D7" w:rsidR="00220C2F" w:rsidRPr="00EC49EC" w:rsidRDefault="004B4400" w:rsidP="006B3E2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Se le dilazioni di pagamento ai fornitori sono pari a 60 giorni, la capogruppo non avrà a bilancio, per il 2017, debiti verso i fornitori di servizi superiori a 100 milioni di euro</w:t>
            </w:r>
          </w:p>
        </w:tc>
        <w:tc>
          <w:tcPr>
            <w:tcW w:w="460" w:type="dxa"/>
          </w:tcPr>
          <w:p w14:paraId="5CBB3F39" w14:textId="265270E8" w:rsidR="00220C2F" w:rsidRPr="00EC49EC" w:rsidRDefault="00B81AFB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1675447A" w14:textId="77777777" w:rsidR="00220C2F" w:rsidRPr="00EC49EC" w:rsidRDefault="00220C2F" w:rsidP="006B3E2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2DF9D772" w14:textId="77777777" w:rsidR="00220C2F" w:rsidRPr="00EC49EC" w:rsidRDefault="00220C2F" w:rsidP="002F0219">
      <w:pPr>
        <w:rPr>
          <w:rFonts w:asciiTheme="minorHAnsi" w:hAnsiTheme="minorHAnsi" w:cstheme="minorHAnsi"/>
          <w:sz w:val="16"/>
          <w:szCs w:val="16"/>
        </w:rPr>
      </w:pPr>
    </w:p>
    <w:sectPr w:rsidR="00220C2F" w:rsidRPr="00EC49EC" w:rsidSect="002F0219">
      <w:footerReference w:type="even" r:id="rId10"/>
      <w:footerReference w:type="default" r:id="rId11"/>
      <w:headerReference w:type="first" r:id="rId12"/>
      <w:pgSz w:w="11905" w:h="16837"/>
      <w:pgMar w:top="720" w:right="720" w:bottom="720" w:left="720" w:header="709" w:footer="30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2F1C1F" w14:textId="77777777" w:rsidR="00630691" w:rsidRDefault="00630691">
      <w:r>
        <w:separator/>
      </w:r>
    </w:p>
  </w:endnote>
  <w:endnote w:type="continuationSeparator" w:id="0">
    <w:p w14:paraId="186F56D3" w14:textId="77777777" w:rsidR="00630691" w:rsidRDefault="00630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96658004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7EAA278" w14:textId="4D7EE50F" w:rsidR="008743B0" w:rsidRDefault="008743B0" w:rsidP="009B17E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88881DD" w14:textId="77777777" w:rsidR="008743B0" w:rsidRDefault="008743B0" w:rsidP="008743B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132126523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221EFAE" w14:textId="7F4FD351" w:rsidR="008743B0" w:rsidRDefault="008743B0" w:rsidP="009B17E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0BC80F6B" w14:textId="77777777" w:rsidR="00856DA1" w:rsidRPr="00D61ACD" w:rsidRDefault="00856DA1" w:rsidP="008743B0">
    <w:pPr>
      <w:pStyle w:val="Pidipagina"/>
      <w:ind w:left="-1276"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FA5D36" w14:textId="77777777" w:rsidR="00630691" w:rsidRDefault="00630691">
      <w:r>
        <w:separator/>
      </w:r>
    </w:p>
  </w:footnote>
  <w:footnote w:type="continuationSeparator" w:id="0">
    <w:p w14:paraId="621533AD" w14:textId="77777777" w:rsidR="00630691" w:rsidRDefault="00630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FD6F1" w14:textId="3742BA3B" w:rsidR="00B049AF" w:rsidRPr="00B049AF" w:rsidRDefault="00B049AF" w:rsidP="00B049AF">
    <w:pPr>
      <w:pStyle w:val="Intestazione"/>
    </w:pPr>
    <w:r>
      <w:rPr>
        <w:rFonts w:ascii="Helvetica" w:hAnsi="Helvetica"/>
        <w:b/>
        <w:noProof/>
        <w:sz w:val="18"/>
        <w:szCs w:val="18"/>
      </w:rPr>
      <w:drawing>
        <wp:inline distT="0" distB="0" distL="0" distR="0" wp14:anchorId="15EF2A8D" wp14:editId="134010C8">
          <wp:extent cx="2660650" cy="520700"/>
          <wp:effectExtent l="0" t="0" r="6350" b="0"/>
          <wp:docPr id="1" name="Immagine 1" descr="Copia di logo colori6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pia di logo colori6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6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BD49D5"/>
    <w:multiLevelType w:val="hybridMultilevel"/>
    <w:tmpl w:val="18FCE3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A5EB6"/>
    <w:multiLevelType w:val="hybridMultilevel"/>
    <w:tmpl w:val="31D89446"/>
    <w:lvl w:ilvl="0" w:tplc="32B48E5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3470"/>
    <w:multiLevelType w:val="hybridMultilevel"/>
    <w:tmpl w:val="18FCE33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C2233B6"/>
    <w:multiLevelType w:val="hybridMultilevel"/>
    <w:tmpl w:val="890644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6E749C"/>
    <w:multiLevelType w:val="hybridMultilevel"/>
    <w:tmpl w:val="18FCE3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efaultTableStyle w:val="Normale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E44"/>
    <w:rsid w:val="00001240"/>
    <w:rsid w:val="000018A0"/>
    <w:rsid w:val="00001A30"/>
    <w:rsid w:val="00004013"/>
    <w:rsid w:val="00006D42"/>
    <w:rsid w:val="00010D86"/>
    <w:rsid w:val="000120CF"/>
    <w:rsid w:val="00021A68"/>
    <w:rsid w:val="000323BA"/>
    <w:rsid w:val="000353FD"/>
    <w:rsid w:val="00036368"/>
    <w:rsid w:val="000369A2"/>
    <w:rsid w:val="00041E53"/>
    <w:rsid w:val="00042507"/>
    <w:rsid w:val="0004340D"/>
    <w:rsid w:val="00046CA4"/>
    <w:rsid w:val="00053091"/>
    <w:rsid w:val="00055F05"/>
    <w:rsid w:val="000615D9"/>
    <w:rsid w:val="00064685"/>
    <w:rsid w:val="00067A44"/>
    <w:rsid w:val="000719D3"/>
    <w:rsid w:val="00071FA1"/>
    <w:rsid w:val="0007231B"/>
    <w:rsid w:val="0007528D"/>
    <w:rsid w:val="00075F0B"/>
    <w:rsid w:val="00083757"/>
    <w:rsid w:val="00083C3F"/>
    <w:rsid w:val="00083DE1"/>
    <w:rsid w:val="000902E2"/>
    <w:rsid w:val="00092552"/>
    <w:rsid w:val="000931CF"/>
    <w:rsid w:val="00093471"/>
    <w:rsid w:val="00094553"/>
    <w:rsid w:val="00096182"/>
    <w:rsid w:val="00096A96"/>
    <w:rsid w:val="000A4BE0"/>
    <w:rsid w:val="000A5ADE"/>
    <w:rsid w:val="000B244A"/>
    <w:rsid w:val="000B358D"/>
    <w:rsid w:val="000B511D"/>
    <w:rsid w:val="000B55D6"/>
    <w:rsid w:val="000C05B4"/>
    <w:rsid w:val="000C1B61"/>
    <w:rsid w:val="000C2FB8"/>
    <w:rsid w:val="000C436D"/>
    <w:rsid w:val="000C4DF9"/>
    <w:rsid w:val="000C5E34"/>
    <w:rsid w:val="000D1913"/>
    <w:rsid w:val="000D5E0F"/>
    <w:rsid w:val="000E1D4A"/>
    <w:rsid w:val="000E2BA6"/>
    <w:rsid w:val="000E3438"/>
    <w:rsid w:val="000E3DE7"/>
    <w:rsid w:val="000E722F"/>
    <w:rsid w:val="000E7E32"/>
    <w:rsid w:val="000E7EE6"/>
    <w:rsid w:val="000F14E2"/>
    <w:rsid w:val="00100106"/>
    <w:rsid w:val="00101530"/>
    <w:rsid w:val="00102B94"/>
    <w:rsid w:val="0011352F"/>
    <w:rsid w:val="00113837"/>
    <w:rsid w:val="001174E0"/>
    <w:rsid w:val="00122D29"/>
    <w:rsid w:val="0012409E"/>
    <w:rsid w:val="00131302"/>
    <w:rsid w:val="00133667"/>
    <w:rsid w:val="00137CF3"/>
    <w:rsid w:val="00141DFC"/>
    <w:rsid w:val="0014273A"/>
    <w:rsid w:val="00151425"/>
    <w:rsid w:val="0015211C"/>
    <w:rsid w:val="001523AE"/>
    <w:rsid w:val="00153A0F"/>
    <w:rsid w:val="00163647"/>
    <w:rsid w:val="001677EE"/>
    <w:rsid w:val="00167D50"/>
    <w:rsid w:val="001721E5"/>
    <w:rsid w:val="00173316"/>
    <w:rsid w:val="0017571B"/>
    <w:rsid w:val="0017599A"/>
    <w:rsid w:val="00176E0F"/>
    <w:rsid w:val="001800DC"/>
    <w:rsid w:val="001920DB"/>
    <w:rsid w:val="00197C68"/>
    <w:rsid w:val="001A02E7"/>
    <w:rsid w:val="001A2D68"/>
    <w:rsid w:val="001A317E"/>
    <w:rsid w:val="001A623E"/>
    <w:rsid w:val="001A71FC"/>
    <w:rsid w:val="001B66ED"/>
    <w:rsid w:val="001C1278"/>
    <w:rsid w:val="001C1E82"/>
    <w:rsid w:val="001C6B15"/>
    <w:rsid w:val="001D19D2"/>
    <w:rsid w:val="001D442C"/>
    <w:rsid w:val="001E3157"/>
    <w:rsid w:val="001E4BE5"/>
    <w:rsid w:val="001E759A"/>
    <w:rsid w:val="001E7CEF"/>
    <w:rsid w:val="001F3172"/>
    <w:rsid w:val="001F5371"/>
    <w:rsid w:val="001F796D"/>
    <w:rsid w:val="002022AC"/>
    <w:rsid w:val="00202EAC"/>
    <w:rsid w:val="002030C7"/>
    <w:rsid w:val="00204734"/>
    <w:rsid w:val="00204743"/>
    <w:rsid w:val="00216001"/>
    <w:rsid w:val="00216613"/>
    <w:rsid w:val="00217734"/>
    <w:rsid w:val="00217905"/>
    <w:rsid w:val="00220C2F"/>
    <w:rsid w:val="00220DA0"/>
    <w:rsid w:val="00221224"/>
    <w:rsid w:val="00221617"/>
    <w:rsid w:val="00221D2F"/>
    <w:rsid w:val="0022501E"/>
    <w:rsid w:val="002275F4"/>
    <w:rsid w:val="00227A25"/>
    <w:rsid w:val="0023414A"/>
    <w:rsid w:val="00236224"/>
    <w:rsid w:val="00241DAB"/>
    <w:rsid w:val="00244B1F"/>
    <w:rsid w:val="00245B7E"/>
    <w:rsid w:val="00247B3E"/>
    <w:rsid w:val="002527F9"/>
    <w:rsid w:val="002533E8"/>
    <w:rsid w:val="00255DA2"/>
    <w:rsid w:val="002622CE"/>
    <w:rsid w:val="0026387E"/>
    <w:rsid w:val="00264C51"/>
    <w:rsid w:val="00265CE9"/>
    <w:rsid w:val="00272228"/>
    <w:rsid w:val="0027232D"/>
    <w:rsid w:val="00276967"/>
    <w:rsid w:val="00277D34"/>
    <w:rsid w:val="00283F6B"/>
    <w:rsid w:val="0028640F"/>
    <w:rsid w:val="00287A0C"/>
    <w:rsid w:val="00291EB6"/>
    <w:rsid w:val="00291F98"/>
    <w:rsid w:val="00296CCB"/>
    <w:rsid w:val="002A0653"/>
    <w:rsid w:val="002A4366"/>
    <w:rsid w:val="002A789A"/>
    <w:rsid w:val="002B22DC"/>
    <w:rsid w:val="002B2B25"/>
    <w:rsid w:val="002B2F4A"/>
    <w:rsid w:val="002C32BE"/>
    <w:rsid w:val="002C51DE"/>
    <w:rsid w:val="002C5E69"/>
    <w:rsid w:val="002C6568"/>
    <w:rsid w:val="002D5A58"/>
    <w:rsid w:val="002E29AF"/>
    <w:rsid w:val="002E5B34"/>
    <w:rsid w:val="002F0219"/>
    <w:rsid w:val="002F4AB7"/>
    <w:rsid w:val="002F58C2"/>
    <w:rsid w:val="003006A8"/>
    <w:rsid w:val="00300A98"/>
    <w:rsid w:val="0030167E"/>
    <w:rsid w:val="003026D4"/>
    <w:rsid w:val="00305E5F"/>
    <w:rsid w:val="00311AB8"/>
    <w:rsid w:val="00315162"/>
    <w:rsid w:val="003163CB"/>
    <w:rsid w:val="00317046"/>
    <w:rsid w:val="00317A17"/>
    <w:rsid w:val="00322009"/>
    <w:rsid w:val="003274CC"/>
    <w:rsid w:val="003322DA"/>
    <w:rsid w:val="003349B5"/>
    <w:rsid w:val="00336584"/>
    <w:rsid w:val="003447E7"/>
    <w:rsid w:val="00344F79"/>
    <w:rsid w:val="00345EDC"/>
    <w:rsid w:val="0035104A"/>
    <w:rsid w:val="0035581E"/>
    <w:rsid w:val="0036772F"/>
    <w:rsid w:val="00370A54"/>
    <w:rsid w:val="00370DCC"/>
    <w:rsid w:val="00372358"/>
    <w:rsid w:val="00376156"/>
    <w:rsid w:val="003822DC"/>
    <w:rsid w:val="00383C4B"/>
    <w:rsid w:val="00386B6B"/>
    <w:rsid w:val="00390BDC"/>
    <w:rsid w:val="00391579"/>
    <w:rsid w:val="00393732"/>
    <w:rsid w:val="003A0E9D"/>
    <w:rsid w:val="003A5C44"/>
    <w:rsid w:val="003A7F9F"/>
    <w:rsid w:val="003B0BE4"/>
    <w:rsid w:val="003B0E97"/>
    <w:rsid w:val="003B3A0C"/>
    <w:rsid w:val="003B5537"/>
    <w:rsid w:val="003B6CD7"/>
    <w:rsid w:val="003D0E7B"/>
    <w:rsid w:val="003D23E1"/>
    <w:rsid w:val="003E074E"/>
    <w:rsid w:val="003F3EF5"/>
    <w:rsid w:val="004016DF"/>
    <w:rsid w:val="00403C7C"/>
    <w:rsid w:val="00406B1B"/>
    <w:rsid w:val="00412277"/>
    <w:rsid w:val="00417BEE"/>
    <w:rsid w:val="00420C99"/>
    <w:rsid w:val="0042110B"/>
    <w:rsid w:val="004314C4"/>
    <w:rsid w:val="00437832"/>
    <w:rsid w:val="00442D34"/>
    <w:rsid w:val="00443FE9"/>
    <w:rsid w:val="0044597B"/>
    <w:rsid w:val="00446778"/>
    <w:rsid w:val="004477AC"/>
    <w:rsid w:val="00451C95"/>
    <w:rsid w:val="0045253C"/>
    <w:rsid w:val="004538FD"/>
    <w:rsid w:val="004567BB"/>
    <w:rsid w:val="00464970"/>
    <w:rsid w:val="0046752C"/>
    <w:rsid w:val="00473793"/>
    <w:rsid w:val="004746BA"/>
    <w:rsid w:val="004752BF"/>
    <w:rsid w:val="004821CB"/>
    <w:rsid w:val="0048220A"/>
    <w:rsid w:val="004877E0"/>
    <w:rsid w:val="00492B07"/>
    <w:rsid w:val="004932E2"/>
    <w:rsid w:val="00494772"/>
    <w:rsid w:val="004A7FE7"/>
    <w:rsid w:val="004B4400"/>
    <w:rsid w:val="004B6F9F"/>
    <w:rsid w:val="004B76A9"/>
    <w:rsid w:val="004B7CC8"/>
    <w:rsid w:val="004C7E52"/>
    <w:rsid w:val="004D526A"/>
    <w:rsid w:val="004D73C5"/>
    <w:rsid w:val="004D7B74"/>
    <w:rsid w:val="004E347D"/>
    <w:rsid w:val="004E64E0"/>
    <w:rsid w:val="004E7CA0"/>
    <w:rsid w:val="004F0B06"/>
    <w:rsid w:val="005002D3"/>
    <w:rsid w:val="005015C5"/>
    <w:rsid w:val="00510780"/>
    <w:rsid w:val="00514888"/>
    <w:rsid w:val="00520051"/>
    <w:rsid w:val="0052090A"/>
    <w:rsid w:val="0052636C"/>
    <w:rsid w:val="005273D6"/>
    <w:rsid w:val="00534F75"/>
    <w:rsid w:val="00536EC3"/>
    <w:rsid w:val="00541AAF"/>
    <w:rsid w:val="00543B1B"/>
    <w:rsid w:val="00571EFF"/>
    <w:rsid w:val="00585988"/>
    <w:rsid w:val="00596257"/>
    <w:rsid w:val="005970D4"/>
    <w:rsid w:val="005A056B"/>
    <w:rsid w:val="005B076D"/>
    <w:rsid w:val="005B143D"/>
    <w:rsid w:val="005B21E8"/>
    <w:rsid w:val="005B5037"/>
    <w:rsid w:val="005C6DF1"/>
    <w:rsid w:val="005D050D"/>
    <w:rsid w:val="005D16CA"/>
    <w:rsid w:val="005D38CF"/>
    <w:rsid w:val="005D4FE9"/>
    <w:rsid w:val="005D6B18"/>
    <w:rsid w:val="005E2B66"/>
    <w:rsid w:val="005E4805"/>
    <w:rsid w:val="005E4927"/>
    <w:rsid w:val="005F099E"/>
    <w:rsid w:val="005F212D"/>
    <w:rsid w:val="005F55F6"/>
    <w:rsid w:val="005F5A74"/>
    <w:rsid w:val="005F78AA"/>
    <w:rsid w:val="006011CA"/>
    <w:rsid w:val="00602037"/>
    <w:rsid w:val="00605E01"/>
    <w:rsid w:val="00612212"/>
    <w:rsid w:val="0061493B"/>
    <w:rsid w:val="00616273"/>
    <w:rsid w:val="00622E81"/>
    <w:rsid w:val="006243B8"/>
    <w:rsid w:val="00625F26"/>
    <w:rsid w:val="00626FCC"/>
    <w:rsid w:val="006275A2"/>
    <w:rsid w:val="00630691"/>
    <w:rsid w:val="00630B87"/>
    <w:rsid w:val="00634314"/>
    <w:rsid w:val="0063441A"/>
    <w:rsid w:val="00641911"/>
    <w:rsid w:val="00641A71"/>
    <w:rsid w:val="006422DC"/>
    <w:rsid w:val="00642C44"/>
    <w:rsid w:val="0064478C"/>
    <w:rsid w:val="00645480"/>
    <w:rsid w:val="00650DEF"/>
    <w:rsid w:val="00652D0A"/>
    <w:rsid w:val="00657242"/>
    <w:rsid w:val="006607C4"/>
    <w:rsid w:val="00660F11"/>
    <w:rsid w:val="00667DD5"/>
    <w:rsid w:val="006716E4"/>
    <w:rsid w:val="00671A44"/>
    <w:rsid w:val="00672847"/>
    <w:rsid w:val="00674C1C"/>
    <w:rsid w:val="00676AEC"/>
    <w:rsid w:val="00680C70"/>
    <w:rsid w:val="00681014"/>
    <w:rsid w:val="00681319"/>
    <w:rsid w:val="0068406B"/>
    <w:rsid w:val="00686C91"/>
    <w:rsid w:val="00693F9D"/>
    <w:rsid w:val="0069420C"/>
    <w:rsid w:val="006A0CDB"/>
    <w:rsid w:val="006A1256"/>
    <w:rsid w:val="006A4505"/>
    <w:rsid w:val="006A46F1"/>
    <w:rsid w:val="006A4C5E"/>
    <w:rsid w:val="006A761E"/>
    <w:rsid w:val="006B2D44"/>
    <w:rsid w:val="006C5D4F"/>
    <w:rsid w:val="006C6B37"/>
    <w:rsid w:val="006D26B7"/>
    <w:rsid w:val="006E04EA"/>
    <w:rsid w:val="006E2F4A"/>
    <w:rsid w:val="006F3758"/>
    <w:rsid w:val="006F665E"/>
    <w:rsid w:val="006F741D"/>
    <w:rsid w:val="0070045C"/>
    <w:rsid w:val="00700A8D"/>
    <w:rsid w:val="00700FA0"/>
    <w:rsid w:val="00701AB3"/>
    <w:rsid w:val="00702FCC"/>
    <w:rsid w:val="0070315E"/>
    <w:rsid w:val="00703D68"/>
    <w:rsid w:val="007067E9"/>
    <w:rsid w:val="0071206B"/>
    <w:rsid w:val="007135F2"/>
    <w:rsid w:val="007210EA"/>
    <w:rsid w:val="00723F88"/>
    <w:rsid w:val="0073468A"/>
    <w:rsid w:val="007523CF"/>
    <w:rsid w:val="00752F64"/>
    <w:rsid w:val="00756654"/>
    <w:rsid w:val="00760134"/>
    <w:rsid w:val="007623F6"/>
    <w:rsid w:val="00766E03"/>
    <w:rsid w:val="00771A54"/>
    <w:rsid w:val="00774BD4"/>
    <w:rsid w:val="007776BB"/>
    <w:rsid w:val="00781CA9"/>
    <w:rsid w:val="0078381E"/>
    <w:rsid w:val="00783DBA"/>
    <w:rsid w:val="007846A0"/>
    <w:rsid w:val="00785A55"/>
    <w:rsid w:val="00787E58"/>
    <w:rsid w:val="0079533E"/>
    <w:rsid w:val="00797BB0"/>
    <w:rsid w:val="007A1CF4"/>
    <w:rsid w:val="007A5628"/>
    <w:rsid w:val="007B1098"/>
    <w:rsid w:val="007B2D94"/>
    <w:rsid w:val="007B5776"/>
    <w:rsid w:val="007B64A9"/>
    <w:rsid w:val="007B6B96"/>
    <w:rsid w:val="007C1227"/>
    <w:rsid w:val="007C13D2"/>
    <w:rsid w:val="007C27F1"/>
    <w:rsid w:val="007C6DDA"/>
    <w:rsid w:val="007D23A9"/>
    <w:rsid w:val="007E22CD"/>
    <w:rsid w:val="007E59B3"/>
    <w:rsid w:val="007E78ED"/>
    <w:rsid w:val="007F08AC"/>
    <w:rsid w:val="007F1D7D"/>
    <w:rsid w:val="007F457E"/>
    <w:rsid w:val="007F4B8D"/>
    <w:rsid w:val="00801C1C"/>
    <w:rsid w:val="00807D7D"/>
    <w:rsid w:val="00811FB5"/>
    <w:rsid w:val="00813F69"/>
    <w:rsid w:val="008149B2"/>
    <w:rsid w:val="00815293"/>
    <w:rsid w:val="0081647D"/>
    <w:rsid w:val="00826469"/>
    <w:rsid w:val="00826A92"/>
    <w:rsid w:val="00826ED0"/>
    <w:rsid w:val="00835863"/>
    <w:rsid w:val="0084265D"/>
    <w:rsid w:val="00843609"/>
    <w:rsid w:val="00843DC9"/>
    <w:rsid w:val="00845952"/>
    <w:rsid w:val="00846D4B"/>
    <w:rsid w:val="00851289"/>
    <w:rsid w:val="0085211B"/>
    <w:rsid w:val="008521BC"/>
    <w:rsid w:val="00854DF1"/>
    <w:rsid w:val="00856390"/>
    <w:rsid w:val="00856DA1"/>
    <w:rsid w:val="00860DBE"/>
    <w:rsid w:val="0086288D"/>
    <w:rsid w:val="00866672"/>
    <w:rsid w:val="008674F6"/>
    <w:rsid w:val="008743B0"/>
    <w:rsid w:val="008819B3"/>
    <w:rsid w:val="00890A64"/>
    <w:rsid w:val="008913D4"/>
    <w:rsid w:val="00891ADC"/>
    <w:rsid w:val="00892118"/>
    <w:rsid w:val="008943E5"/>
    <w:rsid w:val="00895EC5"/>
    <w:rsid w:val="008964D5"/>
    <w:rsid w:val="00896E36"/>
    <w:rsid w:val="008A0473"/>
    <w:rsid w:val="008A3F68"/>
    <w:rsid w:val="008A4C07"/>
    <w:rsid w:val="008A7F78"/>
    <w:rsid w:val="008B26CE"/>
    <w:rsid w:val="008B311B"/>
    <w:rsid w:val="008B4BEC"/>
    <w:rsid w:val="008C5B2F"/>
    <w:rsid w:val="008C64AA"/>
    <w:rsid w:val="008C672B"/>
    <w:rsid w:val="008D0D86"/>
    <w:rsid w:val="008D246B"/>
    <w:rsid w:val="008D54A6"/>
    <w:rsid w:val="008D63E3"/>
    <w:rsid w:val="008D7F81"/>
    <w:rsid w:val="008E1CD8"/>
    <w:rsid w:val="008E2E6C"/>
    <w:rsid w:val="008E3C9A"/>
    <w:rsid w:val="008E45C4"/>
    <w:rsid w:val="008E7523"/>
    <w:rsid w:val="008E7BC2"/>
    <w:rsid w:val="008F0D1B"/>
    <w:rsid w:val="008F1EA0"/>
    <w:rsid w:val="008F2D0F"/>
    <w:rsid w:val="008F3955"/>
    <w:rsid w:val="008F3CA3"/>
    <w:rsid w:val="008F6F84"/>
    <w:rsid w:val="008F7C10"/>
    <w:rsid w:val="0090072D"/>
    <w:rsid w:val="0090792C"/>
    <w:rsid w:val="00912D80"/>
    <w:rsid w:val="00913503"/>
    <w:rsid w:val="00925694"/>
    <w:rsid w:val="00925F70"/>
    <w:rsid w:val="00925F72"/>
    <w:rsid w:val="00932BB5"/>
    <w:rsid w:val="00933476"/>
    <w:rsid w:val="0093596C"/>
    <w:rsid w:val="009376CF"/>
    <w:rsid w:val="00941B5C"/>
    <w:rsid w:val="0094307D"/>
    <w:rsid w:val="00943C55"/>
    <w:rsid w:val="009452F6"/>
    <w:rsid w:val="00954085"/>
    <w:rsid w:val="00954BCB"/>
    <w:rsid w:val="009560E2"/>
    <w:rsid w:val="009603EE"/>
    <w:rsid w:val="00960934"/>
    <w:rsid w:val="00960D81"/>
    <w:rsid w:val="00961C2F"/>
    <w:rsid w:val="00964A65"/>
    <w:rsid w:val="00967876"/>
    <w:rsid w:val="00970D30"/>
    <w:rsid w:val="009734A3"/>
    <w:rsid w:val="009807DF"/>
    <w:rsid w:val="009812DE"/>
    <w:rsid w:val="00982DB4"/>
    <w:rsid w:val="00985906"/>
    <w:rsid w:val="009862F1"/>
    <w:rsid w:val="009871E5"/>
    <w:rsid w:val="00993326"/>
    <w:rsid w:val="00993994"/>
    <w:rsid w:val="009A0512"/>
    <w:rsid w:val="009A2C77"/>
    <w:rsid w:val="009A3465"/>
    <w:rsid w:val="009A3C07"/>
    <w:rsid w:val="009A4E62"/>
    <w:rsid w:val="009A548B"/>
    <w:rsid w:val="009A76B3"/>
    <w:rsid w:val="009B1A98"/>
    <w:rsid w:val="009C53E4"/>
    <w:rsid w:val="009D055D"/>
    <w:rsid w:val="009D20BC"/>
    <w:rsid w:val="009E108E"/>
    <w:rsid w:val="009E5396"/>
    <w:rsid w:val="009E5452"/>
    <w:rsid w:val="009E5CD0"/>
    <w:rsid w:val="009E62AD"/>
    <w:rsid w:val="009F61C2"/>
    <w:rsid w:val="00A02AB4"/>
    <w:rsid w:val="00A05B8C"/>
    <w:rsid w:val="00A06EA3"/>
    <w:rsid w:val="00A078A3"/>
    <w:rsid w:val="00A07AB0"/>
    <w:rsid w:val="00A12684"/>
    <w:rsid w:val="00A135A6"/>
    <w:rsid w:val="00A13615"/>
    <w:rsid w:val="00A176D2"/>
    <w:rsid w:val="00A21659"/>
    <w:rsid w:val="00A21704"/>
    <w:rsid w:val="00A25CD7"/>
    <w:rsid w:val="00A30320"/>
    <w:rsid w:val="00A336EE"/>
    <w:rsid w:val="00A348B5"/>
    <w:rsid w:val="00A36BB2"/>
    <w:rsid w:val="00A405C8"/>
    <w:rsid w:val="00A40821"/>
    <w:rsid w:val="00A4220E"/>
    <w:rsid w:val="00A43499"/>
    <w:rsid w:val="00A473E9"/>
    <w:rsid w:val="00A47DE5"/>
    <w:rsid w:val="00A554DB"/>
    <w:rsid w:val="00A57404"/>
    <w:rsid w:val="00A57D20"/>
    <w:rsid w:val="00A602C5"/>
    <w:rsid w:val="00A74EEC"/>
    <w:rsid w:val="00A774DA"/>
    <w:rsid w:val="00A80321"/>
    <w:rsid w:val="00A811EA"/>
    <w:rsid w:val="00A859B0"/>
    <w:rsid w:val="00A8642C"/>
    <w:rsid w:val="00A86FEC"/>
    <w:rsid w:val="00A9023A"/>
    <w:rsid w:val="00A951EA"/>
    <w:rsid w:val="00AA18A8"/>
    <w:rsid w:val="00AA43FA"/>
    <w:rsid w:val="00AA4A01"/>
    <w:rsid w:val="00AB4637"/>
    <w:rsid w:val="00AB5DD5"/>
    <w:rsid w:val="00AB625A"/>
    <w:rsid w:val="00AB72C1"/>
    <w:rsid w:val="00AC215B"/>
    <w:rsid w:val="00AC277A"/>
    <w:rsid w:val="00AC28F7"/>
    <w:rsid w:val="00AC3CEB"/>
    <w:rsid w:val="00AD0885"/>
    <w:rsid w:val="00AD1495"/>
    <w:rsid w:val="00AD2C55"/>
    <w:rsid w:val="00AD786E"/>
    <w:rsid w:val="00AE050B"/>
    <w:rsid w:val="00AE08F9"/>
    <w:rsid w:val="00AE093F"/>
    <w:rsid w:val="00AE19FF"/>
    <w:rsid w:val="00AE3023"/>
    <w:rsid w:val="00AE63AB"/>
    <w:rsid w:val="00AE76F6"/>
    <w:rsid w:val="00AF3A88"/>
    <w:rsid w:val="00AF5353"/>
    <w:rsid w:val="00AF76CE"/>
    <w:rsid w:val="00B03767"/>
    <w:rsid w:val="00B04279"/>
    <w:rsid w:val="00B049AF"/>
    <w:rsid w:val="00B1122F"/>
    <w:rsid w:val="00B1127D"/>
    <w:rsid w:val="00B134B6"/>
    <w:rsid w:val="00B1370D"/>
    <w:rsid w:val="00B20353"/>
    <w:rsid w:val="00B203C5"/>
    <w:rsid w:val="00B21EFA"/>
    <w:rsid w:val="00B247A7"/>
    <w:rsid w:val="00B274A1"/>
    <w:rsid w:val="00B31F27"/>
    <w:rsid w:val="00B32EBF"/>
    <w:rsid w:val="00B3396D"/>
    <w:rsid w:val="00B34499"/>
    <w:rsid w:val="00B37D58"/>
    <w:rsid w:val="00B401B8"/>
    <w:rsid w:val="00B4071E"/>
    <w:rsid w:val="00B443B8"/>
    <w:rsid w:val="00B45934"/>
    <w:rsid w:val="00B507E7"/>
    <w:rsid w:val="00B52C7E"/>
    <w:rsid w:val="00B55A03"/>
    <w:rsid w:val="00B55B9C"/>
    <w:rsid w:val="00B57911"/>
    <w:rsid w:val="00B61CA8"/>
    <w:rsid w:val="00B62417"/>
    <w:rsid w:val="00B6280C"/>
    <w:rsid w:val="00B62AA1"/>
    <w:rsid w:val="00B62AEB"/>
    <w:rsid w:val="00B63E44"/>
    <w:rsid w:val="00B667B4"/>
    <w:rsid w:val="00B66DF3"/>
    <w:rsid w:val="00B67622"/>
    <w:rsid w:val="00B70219"/>
    <w:rsid w:val="00B72C28"/>
    <w:rsid w:val="00B813D3"/>
    <w:rsid w:val="00B816BD"/>
    <w:rsid w:val="00B81AFB"/>
    <w:rsid w:val="00B853F4"/>
    <w:rsid w:val="00B93642"/>
    <w:rsid w:val="00BA246C"/>
    <w:rsid w:val="00BA289F"/>
    <w:rsid w:val="00BB5703"/>
    <w:rsid w:val="00BB5DE6"/>
    <w:rsid w:val="00BC3D58"/>
    <w:rsid w:val="00BD10EF"/>
    <w:rsid w:val="00BD71F3"/>
    <w:rsid w:val="00BE3B72"/>
    <w:rsid w:val="00BE6B78"/>
    <w:rsid w:val="00BF0885"/>
    <w:rsid w:val="00BF15C3"/>
    <w:rsid w:val="00BF1707"/>
    <w:rsid w:val="00BF3750"/>
    <w:rsid w:val="00BF5372"/>
    <w:rsid w:val="00BF6D4A"/>
    <w:rsid w:val="00BF6D99"/>
    <w:rsid w:val="00C05691"/>
    <w:rsid w:val="00C12AC8"/>
    <w:rsid w:val="00C14CD7"/>
    <w:rsid w:val="00C178E1"/>
    <w:rsid w:val="00C17F23"/>
    <w:rsid w:val="00C21275"/>
    <w:rsid w:val="00C21747"/>
    <w:rsid w:val="00C35F66"/>
    <w:rsid w:val="00C37CCC"/>
    <w:rsid w:val="00C40621"/>
    <w:rsid w:val="00C42113"/>
    <w:rsid w:val="00C44F4C"/>
    <w:rsid w:val="00C45710"/>
    <w:rsid w:val="00C46299"/>
    <w:rsid w:val="00C51A2B"/>
    <w:rsid w:val="00C56337"/>
    <w:rsid w:val="00C56960"/>
    <w:rsid w:val="00C57924"/>
    <w:rsid w:val="00C62315"/>
    <w:rsid w:val="00C63621"/>
    <w:rsid w:val="00C64015"/>
    <w:rsid w:val="00C70087"/>
    <w:rsid w:val="00C70C6A"/>
    <w:rsid w:val="00C7167B"/>
    <w:rsid w:val="00C73F70"/>
    <w:rsid w:val="00C74EC9"/>
    <w:rsid w:val="00C77A92"/>
    <w:rsid w:val="00C77BEA"/>
    <w:rsid w:val="00C80C94"/>
    <w:rsid w:val="00C81CEF"/>
    <w:rsid w:val="00C8266A"/>
    <w:rsid w:val="00C83943"/>
    <w:rsid w:val="00C83D0A"/>
    <w:rsid w:val="00C844DB"/>
    <w:rsid w:val="00C8490E"/>
    <w:rsid w:val="00C84F10"/>
    <w:rsid w:val="00C85993"/>
    <w:rsid w:val="00C94408"/>
    <w:rsid w:val="00C971D1"/>
    <w:rsid w:val="00CA0E27"/>
    <w:rsid w:val="00CA1C27"/>
    <w:rsid w:val="00CA230B"/>
    <w:rsid w:val="00CA3C00"/>
    <w:rsid w:val="00CB72B2"/>
    <w:rsid w:val="00CC471B"/>
    <w:rsid w:val="00CC4C02"/>
    <w:rsid w:val="00CC6124"/>
    <w:rsid w:val="00CD0E0C"/>
    <w:rsid w:val="00CD2C69"/>
    <w:rsid w:val="00CD7665"/>
    <w:rsid w:val="00CE4E52"/>
    <w:rsid w:val="00CF0BC4"/>
    <w:rsid w:val="00CF49AE"/>
    <w:rsid w:val="00CF6CC6"/>
    <w:rsid w:val="00D01530"/>
    <w:rsid w:val="00D03522"/>
    <w:rsid w:val="00D05830"/>
    <w:rsid w:val="00D06098"/>
    <w:rsid w:val="00D06137"/>
    <w:rsid w:val="00D126C5"/>
    <w:rsid w:val="00D2087B"/>
    <w:rsid w:val="00D227B7"/>
    <w:rsid w:val="00D311A6"/>
    <w:rsid w:val="00D33214"/>
    <w:rsid w:val="00D35E64"/>
    <w:rsid w:val="00D42FF1"/>
    <w:rsid w:val="00D6073A"/>
    <w:rsid w:val="00D619B3"/>
    <w:rsid w:val="00D666C5"/>
    <w:rsid w:val="00D701EA"/>
    <w:rsid w:val="00D7143C"/>
    <w:rsid w:val="00D72E95"/>
    <w:rsid w:val="00D73D19"/>
    <w:rsid w:val="00D771CC"/>
    <w:rsid w:val="00D9643B"/>
    <w:rsid w:val="00D977A0"/>
    <w:rsid w:val="00D97A2E"/>
    <w:rsid w:val="00DB3614"/>
    <w:rsid w:val="00DB482B"/>
    <w:rsid w:val="00DB7264"/>
    <w:rsid w:val="00DC0619"/>
    <w:rsid w:val="00DC4114"/>
    <w:rsid w:val="00DC52A5"/>
    <w:rsid w:val="00DC5FDA"/>
    <w:rsid w:val="00DC619C"/>
    <w:rsid w:val="00DD0A53"/>
    <w:rsid w:val="00DD6513"/>
    <w:rsid w:val="00DE3E32"/>
    <w:rsid w:val="00DE4DC8"/>
    <w:rsid w:val="00DE5782"/>
    <w:rsid w:val="00DF4714"/>
    <w:rsid w:val="00DF50D8"/>
    <w:rsid w:val="00DF7CCD"/>
    <w:rsid w:val="00E06264"/>
    <w:rsid w:val="00E064AC"/>
    <w:rsid w:val="00E13AAB"/>
    <w:rsid w:val="00E14500"/>
    <w:rsid w:val="00E1454B"/>
    <w:rsid w:val="00E14D1C"/>
    <w:rsid w:val="00E15283"/>
    <w:rsid w:val="00E16121"/>
    <w:rsid w:val="00E21500"/>
    <w:rsid w:val="00E23215"/>
    <w:rsid w:val="00E25E07"/>
    <w:rsid w:val="00E26BCF"/>
    <w:rsid w:val="00E27617"/>
    <w:rsid w:val="00E308B3"/>
    <w:rsid w:val="00E31664"/>
    <w:rsid w:val="00E3234E"/>
    <w:rsid w:val="00E338A5"/>
    <w:rsid w:val="00E417E8"/>
    <w:rsid w:val="00E448F3"/>
    <w:rsid w:val="00E44996"/>
    <w:rsid w:val="00E522F3"/>
    <w:rsid w:val="00E533B0"/>
    <w:rsid w:val="00E53CA8"/>
    <w:rsid w:val="00E53E20"/>
    <w:rsid w:val="00E5415C"/>
    <w:rsid w:val="00E5437C"/>
    <w:rsid w:val="00E6437E"/>
    <w:rsid w:val="00E65B3D"/>
    <w:rsid w:val="00E65E14"/>
    <w:rsid w:val="00E65FF7"/>
    <w:rsid w:val="00E840A3"/>
    <w:rsid w:val="00E87D49"/>
    <w:rsid w:val="00E87EB9"/>
    <w:rsid w:val="00E91983"/>
    <w:rsid w:val="00EA6CF1"/>
    <w:rsid w:val="00EA6EEA"/>
    <w:rsid w:val="00EA7C09"/>
    <w:rsid w:val="00EB77D8"/>
    <w:rsid w:val="00EC063D"/>
    <w:rsid w:val="00EC06BA"/>
    <w:rsid w:val="00EC4837"/>
    <w:rsid w:val="00EC495A"/>
    <w:rsid w:val="00EC49EC"/>
    <w:rsid w:val="00EC557D"/>
    <w:rsid w:val="00EC7E38"/>
    <w:rsid w:val="00ED1A98"/>
    <w:rsid w:val="00ED2272"/>
    <w:rsid w:val="00ED4E7E"/>
    <w:rsid w:val="00ED6919"/>
    <w:rsid w:val="00EE1E4D"/>
    <w:rsid w:val="00EE4CD8"/>
    <w:rsid w:val="00EE52D6"/>
    <w:rsid w:val="00EF0B34"/>
    <w:rsid w:val="00EF1712"/>
    <w:rsid w:val="00EF2E90"/>
    <w:rsid w:val="00EF6E89"/>
    <w:rsid w:val="00F20CC6"/>
    <w:rsid w:val="00F40000"/>
    <w:rsid w:val="00F41058"/>
    <w:rsid w:val="00F416FF"/>
    <w:rsid w:val="00F42297"/>
    <w:rsid w:val="00F4397F"/>
    <w:rsid w:val="00F440C7"/>
    <w:rsid w:val="00F45E4C"/>
    <w:rsid w:val="00F555CB"/>
    <w:rsid w:val="00F558D7"/>
    <w:rsid w:val="00F62411"/>
    <w:rsid w:val="00F63EBB"/>
    <w:rsid w:val="00F67AD0"/>
    <w:rsid w:val="00F71774"/>
    <w:rsid w:val="00F72D93"/>
    <w:rsid w:val="00F74621"/>
    <w:rsid w:val="00F82F52"/>
    <w:rsid w:val="00F848F7"/>
    <w:rsid w:val="00F94CD7"/>
    <w:rsid w:val="00F950B8"/>
    <w:rsid w:val="00FA45BC"/>
    <w:rsid w:val="00FA5A65"/>
    <w:rsid w:val="00FA7740"/>
    <w:rsid w:val="00FB1321"/>
    <w:rsid w:val="00FB41B1"/>
    <w:rsid w:val="00FC01FC"/>
    <w:rsid w:val="00FC7973"/>
    <w:rsid w:val="00FD3DE0"/>
    <w:rsid w:val="00FE16B4"/>
    <w:rsid w:val="00FE4F39"/>
    <w:rsid w:val="00FE685A"/>
    <w:rsid w:val="00FF3EC1"/>
    <w:rsid w:val="00FF71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C68F76D"/>
  <w15:docId w15:val="{1E105D52-A958-CE43-9111-BC8CFA2F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uppressAutoHyphens/>
    </w:pPr>
    <w:rPr>
      <w:rFonts w:ascii="Courier" w:hAnsi="Courie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Times New Roman" w:eastAsia="Times New Roman" w:hAnsi="Times New Roman" w:cs="Times New Roman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basedOn w:val="Carpredefinitoparagrafo1"/>
    <w:rPr>
      <w:color w:val="0000FF"/>
      <w:u w:val="single"/>
    </w:rPr>
  </w:style>
  <w:style w:type="character" w:styleId="Enfasicorsivo">
    <w:name w:val="Emphasis"/>
    <w:basedOn w:val="Carpredefinitoparagrafo1"/>
    <w:qFormat/>
    <w:rPr>
      <w:i/>
      <w:iCs/>
    </w:rPr>
  </w:style>
  <w:style w:type="paragraph" w:styleId="Intestazione">
    <w:name w:val="header"/>
    <w:basedOn w:val="Normale"/>
    <w:next w:val="Corpodeltesto1"/>
    <w:pPr>
      <w:tabs>
        <w:tab w:val="center" w:pos="4819"/>
        <w:tab w:val="right" w:pos="9638"/>
      </w:tabs>
    </w:pPr>
  </w:style>
  <w:style w:type="paragraph" w:customStyle="1" w:styleId="Corpodeltesto1">
    <w:name w:val="Corpo del testo1"/>
    <w:basedOn w:val="Normale"/>
    <w:pPr>
      <w:spacing w:after="120"/>
    </w:pPr>
  </w:style>
  <w:style w:type="paragraph" w:styleId="Elenco">
    <w:name w:val="List"/>
    <w:basedOn w:val="Corpodeltesto1"/>
    <w:rPr>
      <w:rFonts w:cs="Tahoma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uiPriority w:val="59"/>
    <w:rsid w:val="00D61AC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647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647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72"/>
    <w:qFormat/>
    <w:rsid w:val="00C57924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874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EBA394-72D3-4849-A5A4-55F7D172B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1497</Words>
  <Characters>8533</Characters>
  <Application>Microsoft Office Word</Application>
  <DocSecurity>0</DocSecurity>
  <Lines>71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Università degli Studi di Trieste</Company>
  <LinksUpToDate>false</LinksUpToDate>
  <CharactersWithSpaces>10010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Zaccarin</dc:creator>
  <cp:keywords/>
  <dc:description/>
  <cp:lastModifiedBy>Tracogna Andrea</cp:lastModifiedBy>
  <cp:revision>3</cp:revision>
  <cp:lastPrinted>2017-01-06T10:45:00Z</cp:lastPrinted>
  <dcterms:created xsi:type="dcterms:W3CDTF">2018-12-19T12:06:00Z</dcterms:created>
  <dcterms:modified xsi:type="dcterms:W3CDTF">2018-12-19T12:06:00Z</dcterms:modified>
</cp:coreProperties>
</file>