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17261" w14:textId="77777777" w:rsidR="002A24CB" w:rsidRDefault="002A24CB" w:rsidP="00C57924">
      <w:pPr>
        <w:jc w:val="center"/>
        <w:rPr>
          <w:rFonts w:asciiTheme="minorHAnsi" w:hAnsiTheme="minorHAnsi" w:cstheme="minorHAnsi"/>
        </w:rPr>
      </w:pPr>
    </w:p>
    <w:p w14:paraId="08761644" w14:textId="77777777" w:rsidR="00DF50D8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ECONOMIA E GESTIONE DELLE IMPRESE</w:t>
      </w:r>
    </w:p>
    <w:p w14:paraId="3540DE22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1496975F" w14:textId="77777777" w:rsidR="00C57924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PROVA SCRITTA</w:t>
      </w:r>
    </w:p>
    <w:p w14:paraId="7039C2E5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72F6AB8C" w14:textId="2C4C8018" w:rsidR="00C57924" w:rsidRPr="00EA6EEA" w:rsidRDefault="00B43683" w:rsidP="00C5792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</w:t>
      </w:r>
      <w:r w:rsidR="007523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GIUGNO</w:t>
      </w:r>
      <w:r w:rsidR="007523CF">
        <w:rPr>
          <w:rFonts w:asciiTheme="minorHAnsi" w:hAnsiTheme="minorHAnsi" w:cstheme="minorHAnsi"/>
        </w:rPr>
        <w:t xml:space="preserve"> </w:t>
      </w:r>
      <w:r w:rsidR="00C14CD7">
        <w:rPr>
          <w:rFonts w:asciiTheme="minorHAnsi" w:hAnsiTheme="minorHAnsi" w:cstheme="minorHAnsi"/>
        </w:rPr>
        <w:t>2017</w:t>
      </w:r>
    </w:p>
    <w:p w14:paraId="7C200A79" w14:textId="77777777" w:rsidR="00DF50D8" w:rsidRPr="00EA6EEA" w:rsidRDefault="00DF50D8">
      <w:pPr>
        <w:rPr>
          <w:rFonts w:asciiTheme="minorHAnsi" w:hAnsiTheme="minorHAnsi" w:cstheme="minorHAnsi"/>
        </w:rPr>
      </w:pPr>
    </w:p>
    <w:p w14:paraId="743EC475" w14:textId="77777777" w:rsidR="00DF50D8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TEMPO DISPONIBILE: 60 MINUTI</w:t>
      </w:r>
    </w:p>
    <w:p w14:paraId="2703AA20" w14:textId="77777777" w:rsidR="00C57924" w:rsidRPr="00EA6EEA" w:rsidRDefault="00C57924">
      <w:pPr>
        <w:rPr>
          <w:rFonts w:asciiTheme="minorHAnsi" w:hAnsiTheme="minorHAnsi" w:cstheme="minorHAnsi"/>
        </w:rPr>
      </w:pPr>
    </w:p>
    <w:p w14:paraId="52A25D93" w14:textId="77777777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NOME E COGNOME</w:t>
      </w:r>
      <w:r w:rsidR="00C57924" w:rsidRPr="00EA6EEA">
        <w:rPr>
          <w:rFonts w:asciiTheme="minorHAnsi" w:hAnsiTheme="minorHAnsi" w:cstheme="minorHAnsi"/>
        </w:rPr>
        <w:t xml:space="preserve"> __________________________________________________________</w:t>
      </w:r>
    </w:p>
    <w:p w14:paraId="46350ABD" w14:textId="45C36E34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NUMERO DI MATRICOLA</w:t>
      </w:r>
      <w:r w:rsidR="00E44996" w:rsidRPr="00EA6EEA">
        <w:rPr>
          <w:rFonts w:asciiTheme="minorHAnsi" w:hAnsiTheme="minorHAnsi" w:cstheme="minorHAnsi"/>
        </w:rPr>
        <w:t>_______________________</w:t>
      </w:r>
    </w:p>
    <w:p w14:paraId="7BE9DE28" w14:textId="77777777" w:rsidR="001800DC" w:rsidRPr="00EA6EEA" w:rsidRDefault="001800DC" w:rsidP="001800DC">
      <w:pPr>
        <w:rPr>
          <w:rFonts w:asciiTheme="minorHAnsi" w:hAnsiTheme="minorHAnsi" w:cstheme="minorHAnsi"/>
        </w:rPr>
      </w:pPr>
    </w:p>
    <w:p w14:paraId="55FC9B24" w14:textId="12376E63" w:rsidR="00220DA0" w:rsidRPr="00220DA0" w:rsidRDefault="007F1D7D" w:rsidP="00220D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8E39F" wp14:editId="4761110B">
                <wp:simplePos x="0" y="0"/>
                <wp:positionH relativeFrom="column">
                  <wp:posOffset>4956810</wp:posOffset>
                </wp:positionH>
                <wp:positionV relativeFrom="paragraph">
                  <wp:posOffset>57785</wp:posOffset>
                </wp:positionV>
                <wp:extent cx="101600" cy="107950"/>
                <wp:effectExtent l="12700" t="10160" r="1270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0.3pt;margin-top:4.55pt;width:8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" strokeweight="1.5pt"/>
            </w:pict>
          </mc:Fallback>
        </mc:AlternateContent>
      </w:r>
      <w:r w:rsidR="00771A54">
        <w:rPr>
          <w:rFonts w:asciiTheme="minorHAnsi" w:hAnsiTheme="minorHAnsi" w:cstheme="minorHAnsi"/>
        </w:rPr>
        <w:t xml:space="preserve">CASI SPECIALI: </w:t>
      </w:r>
      <w:r w:rsidR="00220DA0" w:rsidRPr="00220DA0">
        <w:rPr>
          <w:rFonts w:asciiTheme="minorHAnsi" w:hAnsiTheme="minorHAnsi" w:cstheme="minorHAnsi"/>
        </w:rPr>
        <w:t>NEL MIO PIANO DI STUDI QUESTO ESAME VALE</w:t>
      </w:r>
      <w:r w:rsidR="00771A54">
        <w:rPr>
          <w:rFonts w:asciiTheme="minorHAnsi" w:hAnsiTheme="minorHAnsi" w:cstheme="minorHAnsi"/>
        </w:rPr>
        <w:t xml:space="preserve"> </w:t>
      </w:r>
      <w:r w:rsidR="00220DA0">
        <w:rPr>
          <w:rFonts w:asciiTheme="minorHAnsi" w:hAnsiTheme="minorHAnsi" w:cstheme="minorHAnsi"/>
        </w:rPr>
        <w:t>6 CREDITI</w:t>
      </w:r>
      <w:r w:rsidR="00220DA0" w:rsidRPr="00220DA0">
        <w:rPr>
          <w:rFonts w:asciiTheme="minorHAnsi" w:hAnsiTheme="minorHAnsi" w:cstheme="minorHAnsi"/>
        </w:rPr>
        <w:t xml:space="preserve">    </w:t>
      </w:r>
    </w:p>
    <w:p w14:paraId="6580A4C7" w14:textId="77777777" w:rsidR="00CB72B2" w:rsidRDefault="00CB72B2" w:rsidP="00CB72B2">
      <w:pPr>
        <w:ind w:left="360"/>
        <w:rPr>
          <w:rFonts w:asciiTheme="minorHAnsi" w:hAnsiTheme="minorHAnsi" w:cstheme="minorHAnsi"/>
        </w:rPr>
      </w:pPr>
      <w:r w:rsidRPr="00CB72B2">
        <w:rPr>
          <w:rFonts w:asciiTheme="minorHAnsi" w:hAnsiTheme="minorHAnsi" w:cstheme="minorHAnsi"/>
        </w:rPr>
        <w:t>IN TAL CASO, NON RISPONDERE ALLE DOMANDE CON L’ASTERISCO (*)</w:t>
      </w:r>
    </w:p>
    <w:p w14:paraId="5C873052" w14:textId="133E4D19" w:rsidR="00CB72B2" w:rsidRPr="00CB72B2" w:rsidRDefault="00CB72B2" w:rsidP="00CB72B2">
      <w:pPr>
        <w:ind w:left="360"/>
        <w:rPr>
          <w:rFonts w:asciiTheme="minorHAnsi" w:hAnsiTheme="minorHAnsi" w:cstheme="minorHAnsi"/>
        </w:rPr>
      </w:pPr>
      <w:r w:rsidRPr="00CB72B2">
        <w:rPr>
          <w:rFonts w:asciiTheme="minorHAnsi" w:hAnsiTheme="minorHAnsi" w:cstheme="minorHAnsi"/>
        </w:rPr>
        <w:t xml:space="preserve"> </w:t>
      </w:r>
    </w:p>
    <w:p w14:paraId="43E1A335" w14:textId="241FB797" w:rsidR="00C57924" w:rsidRPr="00E31664" w:rsidRDefault="00C17F23" w:rsidP="00E3166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C17F23">
        <w:rPr>
          <w:rFonts w:asciiTheme="minorHAnsi" w:hAnsiTheme="minorHAnsi" w:cstheme="minorHAnsi"/>
        </w:rPr>
        <w:t xml:space="preserve">Si </w:t>
      </w:r>
      <w:r>
        <w:rPr>
          <w:rFonts w:asciiTheme="minorHAnsi" w:hAnsiTheme="minorHAnsi" w:cstheme="minorHAnsi"/>
        </w:rPr>
        <w:t>completi</w:t>
      </w:r>
      <w:r w:rsidRPr="00C17F23">
        <w:rPr>
          <w:rFonts w:asciiTheme="minorHAnsi" w:hAnsiTheme="minorHAnsi" w:cstheme="minorHAnsi"/>
        </w:rPr>
        <w:t xml:space="preserve"> la tabella seguente con </w:t>
      </w:r>
      <w:r>
        <w:rPr>
          <w:rFonts w:asciiTheme="minorHAnsi" w:hAnsiTheme="minorHAnsi" w:cstheme="minorHAnsi"/>
        </w:rPr>
        <w:t>i</w:t>
      </w:r>
      <w:r w:rsidRPr="00C17F23">
        <w:rPr>
          <w:rFonts w:asciiTheme="minorHAnsi" w:hAnsiTheme="minorHAnsi" w:cstheme="minorHAnsi"/>
        </w:rPr>
        <w:t xml:space="preserve"> numeri corretti. </w:t>
      </w:r>
      <w:r>
        <w:rPr>
          <w:rFonts w:asciiTheme="minorHAnsi" w:hAnsiTheme="minorHAnsi" w:cstheme="minorHAnsi"/>
        </w:rPr>
        <w:t xml:space="preserve">Un punto per ogni risposta esatta, un punto </w:t>
      </w:r>
      <w:r w:rsidR="00F71774">
        <w:rPr>
          <w:rFonts w:asciiTheme="minorHAnsi" w:hAnsiTheme="minorHAnsi" w:cstheme="minorHAnsi"/>
        </w:rPr>
        <w:t xml:space="preserve">di </w:t>
      </w:r>
      <w:r w:rsidR="00F71774" w:rsidRPr="00F71774">
        <w:rPr>
          <w:rFonts w:asciiTheme="minorHAnsi" w:hAnsiTheme="minorHAnsi" w:cstheme="minorHAnsi"/>
          <w:b/>
        </w:rPr>
        <w:t>penalizzazione</w:t>
      </w:r>
      <w:r>
        <w:rPr>
          <w:rFonts w:asciiTheme="minorHAnsi" w:hAnsiTheme="minorHAnsi" w:cstheme="minorHAnsi"/>
        </w:rPr>
        <w:t xml:space="preserve"> per ogni risposta sbagliata. Nessun punto per ogni risposta non data. NO MATITA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968"/>
        <w:gridCol w:w="5063"/>
      </w:tblGrid>
      <w:tr w:rsidR="00234697" w:rsidRPr="00BF3750" w14:paraId="1E9F15AA" w14:textId="77777777" w:rsidTr="007D23A9">
        <w:tc>
          <w:tcPr>
            <w:tcW w:w="4968" w:type="dxa"/>
          </w:tcPr>
          <w:p w14:paraId="61899832" w14:textId="2A99A460" w:rsidR="00234697" w:rsidRDefault="00530F25" w:rsidP="008E7523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Anno 0 - Il totale attivo è </w:t>
            </w:r>
            <w:r w:rsidR="006473F5">
              <w:rPr>
                <w:rFonts w:asciiTheme="minorHAnsi" w:hAnsiTheme="minorHAnsi" w:cstheme="minorHAnsi"/>
                <w:sz w:val="16"/>
              </w:rPr>
              <w:t>6</w:t>
            </w:r>
            <w:r w:rsidR="00234697">
              <w:rPr>
                <w:rFonts w:asciiTheme="minorHAnsi" w:hAnsiTheme="minorHAnsi" w:cstheme="minorHAnsi"/>
                <w:sz w:val="16"/>
              </w:rPr>
              <w:t xml:space="preserve">.000.000 di euro, con un rapporto </w:t>
            </w:r>
            <w:r>
              <w:rPr>
                <w:rFonts w:asciiTheme="minorHAnsi" w:hAnsiTheme="minorHAnsi" w:cstheme="minorHAnsi"/>
                <w:sz w:val="16"/>
              </w:rPr>
              <w:t>di</w:t>
            </w:r>
            <w:r w:rsidR="006473F5">
              <w:rPr>
                <w:rFonts w:asciiTheme="minorHAnsi" w:hAnsiTheme="minorHAnsi" w:cstheme="minorHAnsi"/>
                <w:sz w:val="16"/>
              </w:rPr>
              <w:t xml:space="preserve"> leva finanziaria (A/E) pari a 2</w:t>
            </w:r>
            <w:r>
              <w:rPr>
                <w:rFonts w:asciiTheme="minorHAnsi" w:hAnsiTheme="minorHAnsi" w:cstheme="minorHAnsi"/>
                <w:sz w:val="16"/>
              </w:rPr>
              <w:t xml:space="preserve">. Il costo del </w:t>
            </w:r>
            <w:r w:rsidR="006473F5">
              <w:rPr>
                <w:rFonts w:asciiTheme="minorHAnsi" w:hAnsiTheme="minorHAnsi" w:cstheme="minorHAnsi"/>
                <w:sz w:val="16"/>
              </w:rPr>
              <w:t>Debito</w:t>
            </w:r>
            <w:r w:rsidR="00326434">
              <w:rPr>
                <w:rFonts w:asciiTheme="minorHAnsi" w:hAnsiTheme="minorHAnsi" w:cstheme="minorHAnsi"/>
                <w:sz w:val="16"/>
              </w:rPr>
              <w:t xml:space="preserve"> è 5%. Il costo dell’Equity è 13</w:t>
            </w:r>
            <w:r w:rsidR="00234697">
              <w:rPr>
                <w:rFonts w:asciiTheme="minorHAnsi" w:hAnsiTheme="minorHAnsi" w:cstheme="minorHAnsi"/>
                <w:sz w:val="16"/>
              </w:rPr>
              <w:t xml:space="preserve">%. </w:t>
            </w:r>
          </w:p>
          <w:p w14:paraId="76A0AD5F" w14:textId="001E772A" w:rsidR="00234697" w:rsidRDefault="006473F5" w:rsidP="00EF66CD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 NOPAT è il 10</w:t>
            </w:r>
            <w:r w:rsidR="00234697">
              <w:rPr>
                <w:rFonts w:asciiTheme="minorHAnsi" w:hAnsiTheme="minorHAnsi" w:cstheme="minorHAnsi"/>
                <w:sz w:val="16"/>
              </w:rPr>
              <w:t xml:space="preserve">% annuo sul capitale investito. </w:t>
            </w:r>
          </w:p>
          <w:p w14:paraId="0D281558" w14:textId="0D1D65C3" w:rsidR="00234697" w:rsidRPr="00BF3750" w:rsidRDefault="00234697" w:rsidP="006473F5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Anno 1 - L’impresa fa un’emissione obbligazionaria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6473F5">
              <w:rPr>
                <w:rFonts w:asciiTheme="minorHAnsi" w:hAnsiTheme="minorHAnsi" w:cstheme="minorHAnsi"/>
                <w:sz w:val="16"/>
              </w:rPr>
              <w:t>di 2.0</w:t>
            </w:r>
            <w:r>
              <w:rPr>
                <w:rFonts w:asciiTheme="minorHAnsi" w:hAnsiTheme="minorHAnsi" w:cstheme="minorHAnsi"/>
                <w:sz w:val="16"/>
              </w:rPr>
              <w:t xml:space="preserve">00.000 di euro, </w:t>
            </w:r>
            <w:r w:rsidR="006473F5">
              <w:rPr>
                <w:rFonts w:asciiTheme="minorHAnsi" w:hAnsiTheme="minorHAnsi" w:cstheme="minorHAnsi"/>
                <w:sz w:val="16"/>
              </w:rPr>
              <w:t>lasciando invariato</w:t>
            </w:r>
            <w:r w:rsidR="003B7EE5">
              <w:rPr>
                <w:rFonts w:asciiTheme="minorHAnsi" w:hAnsiTheme="minorHAnsi" w:cstheme="minorHAnsi"/>
                <w:sz w:val="16"/>
              </w:rPr>
              <w:t xml:space="preserve"> l’Equity</w:t>
            </w:r>
            <w:r w:rsidR="006473F5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 xml:space="preserve">– </w:t>
            </w:r>
            <w:r w:rsidR="006473F5">
              <w:rPr>
                <w:rFonts w:asciiTheme="minorHAnsi" w:hAnsiTheme="minorHAnsi" w:cstheme="minorHAnsi"/>
                <w:sz w:val="16"/>
              </w:rPr>
              <w:t>modificando di pari importo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3B7EE5">
              <w:rPr>
                <w:rFonts w:asciiTheme="minorHAnsi" w:hAnsiTheme="minorHAnsi" w:cstheme="minorHAnsi"/>
                <w:sz w:val="16"/>
              </w:rPr>
              <w:t>il capitale investito e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6473F5">
              <w:rPr>
                <w:rFonts w:asciiTheme="minorHAnsi" w:hAnsiTheme="minorHAnsi" w:cstheme="minorHAnsi"/>
                <w:sz w:val="16"/>
              </w:rPr>
              <w:t xml:space="preserve">lasciando invariata </w:t>
            </w:r>
            <w:r>
              <w:rPr>
                <w:rFonts w:asciiTheme="minorHAnsi" w:hAnsiTheme="minorHAnsi" w:cstheme="minorHAnsi"/>
                <w:sz w:val="16"/>
              </w:rPr>
              <w:t xml:space="preserve">la redditività operativa annuale in % sul capitale investito. </w:t>
            </w:r>
          </w:p>
        </w:tc>
        <w:tc>
          <w:tcPr>
            <w:tcW w:w="5063" w:type="dxa"/>
          </w:tcPr>
          <w:p w14:paraId="55C77FF3" w14:textId="31DB2BD5" w:rsidR="00234697" w:rsidRDefault="00234697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Dopo l’emissione obbligazionaria, il WACC all’anno 1 sarà </w:t>
            </w:r>
            <w:r w:rsidR="006473F5">
              <w:rPr>
                <w:rFonts w:asciiTheme="minorHAnsi" w:hAnsiTheme="minorHAnsi" w:cstheme="minorHAnsi"/>
                <w:sz w:val="16"/>
              </w:rPr>
              <w:t>___</w:t>
            </w:r>
            <w:r w:rsidR="00AD3963">
              <w:rPr>
                <w:rFonts w:asciiTheme="minorHAnsi" w:hAnsiTheme="minorHAnsi" w:cstheme="minorHAnsi"/>
                <w:sz w:val="16"/>
              </w:rPr>
              <w:t>8</w:t>
            </w:r>
            <w:r w:rsidR="006473F5">
              <w:rPr>
                <w:rFonts w:asciiTheme="minorHAnsi" w:hAnsiTheme="minorHAnsi" w:cstheme="minorHAnsi"/>
                <w:sz w:val="16"/>
              </w:rPr>
              <w:t>___</w:t>
            </w:r>
            <w:r w:rsidR="00232A54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 xml:space="preserve">% </w:t>
            </w:r>
          </w:p>
          <w:p w14:paraId="618462D8" w14:textId="77777777" w:rsidR="00234697" w:rsidRDefault="00234697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  <w:p w14:paraId="2ED0E2F1" w14:textId="402D693D" w:rsidR="00234697" w:rsidRPr="00BF3750" w:rsidRDefault="00A41424" w:rsidP="006473F5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 reddito residuale alla fine dell’</w:t>
            </w:r>
            <w:r w:rsidR="006473F5">
              <w:rPr>
                <w:rFonts w:asciiTheme="minorHAnsi" w:hAnsiTheme="minorHAnsi" w:cstheme="minorHAnsi"/>
                <w:sz w:val="16"/>
              </w:rPr>
              <w:t>anno 1 sarà __</w:t>
            </w:r>
            <w:r w:rsidR="00AD3963">
              <w:rPr>
                <w:rFonts w:asciiTheme="minorHAnsi" w:hAnsiTheme="minorHAnsi" w:cstheme="minorHAnsi"/>
                <w:sz w:val="16"/>
              </w:rPr>
              <w:t>160000</w:t>
            </w:r>
            <w:r w:rsidR="006473F5">
              <w:rPr>
                <w:rFonts w:asciiTheme="minorHAnsi" w:hAnsiTheme="minorHAnsi" w:cstheme="minorHAnsi"/>
                <w:sz w:val="16"/>
              </w:rPr>
              <w:t>________________</w:t>
            </w:r>
          </w:p>
        </w:tc>
      </w:tr>
      <w:tr w:rsidR="00234697" w:rsidRPr="00BF3750" w14:paraId="5C216440" w14:textId="77777777" w:rsidTr="007D23A9">
        <w:trPr>
          <w:trHeight w:val="755"/>
        </w:trPr>
        <w:tc>
          <w:tcPr>
            <w:tcW w:w="4968" w:type="dxa"/>
          </w:tcPr>
          <w:p w14:paraId="580ED3A1" w14:textId="0736D9B3" w:rsidR="00234697" w:rsidRPr="00BF3750" w:rsidRDefault="00234697" w:rsidP="006473F5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Un’impresa prevede di realizzare un fatturato di </w:t>
            </w:r>
            <w:r w:rsidR="006473F5">
              <w:rPr>
                <w:rFonts w:asciiTheme="minorHAnsi" w:hAnsiTheme="minorHAnsi" w:cstheme="minorHAnsi"/>
                <w:sz w:val="16"/>
              </w:rPr>
              <w:t>2</w:t>
            </w:r>
            <w:r>
              <w:rPr>
                <w:rFonts w:asciiTheme="minorHAnsi" w:hAnsiTheme="minorHAnsi" w:cstheme="minorHAnsi"/>
                <w:sz w:val="16"/>
              </w:rPr>
              <w:t xml:space="preserve"> milioni di euro con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costi fissi </w:t>
            </w:r>
            <w:r w:rsidR="006473F5">
              <w:rPr>
                <w:rFonts w:asciiTheme="minorHAnsi" w:hAnsiTheme="minorHAnsi" w:cstheme="minorHAnsi"/>
                <w:sz w:val="16"/>
              </w:rPr>
              <w:t xml:space="preserve">uguali ai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costi </w:t>
            </w:r>
            <w:r>
              <w:rPr>
                <w:rFonts w:asciiTheme="minorHAnsi" w:hAnsiTheme="minorHAnsi" w:cstheme="minorHAnsi"/>
                <w:sz w:val="16"/>
              </w:rPr>
              <w:t xml:space="preserve">variabili. </w:t>
            </w:r>
            <w:r w:rsidR="006473F5">
              <w:rPr>
                <w:rFonts w:asciiTheme="minorHAnsi" w:hAnsiTheme="minorHAnsi" w:cstheme="minorHAnsi"/>
                <w:sz w:val="16"/>
              </w:rPr>
              <w:t>Il fatturato è 1,5 volte il margine di contribuzione</w:t>
            </w:r>
            <w:r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5063" w:type="dxa"/>
          </w:tcPr>
          <w:p w14:paraId="4BD99C28" w14:textId="69259BB9" w:rsidR="00234697" w:rsidRPr="00BF3750" w:rsidRDefault="00234697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Immaginiamo che i volumi di vendita salgano </w:t>
            </w:r>
            <w:r w:rsidR="006473F5">
              <w:rPr>
                <w:rFonts w:asciiTheme="minorHAnsi" w:hAnsiTheme="minorHAnsi" w:cstheme="minorHAnsi"/>
                <w:sz w:val="16"/>
              </w:rPr>
              <w:t>del 20% a parità di prezzo</w:t>
            </w:r>
            <w:r w:rsidRPr="00BF3750">
              <w:rPr>
                <w:rFonts w:asciiTheme="minorHAnsi" w:hAnsiTheme="minorHAnsi" w:cstheme="minorHAnsi"/>
                <w:sz w:val="16"/>
              </w:rPr>
              <w:t>:</w:t>
            </w:r>
          </w:p>
          <w:p w14:paraId="76488E1C" w14:textId="292B215A" w:rsidR="00234697" w:rsidRPr="00BF3750" w:rsidRDefault="00234697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La leva operativa passa a </w:t>
            </w:r>
            <w:r w:rsidR="006473F5">
              <w:rPr>
                <w:rFonts w:asciiTheme="minorHAnsi" w:hAnsiTheme="minorHAnsi" w:cstheme="minorHAnsi"/>
                <w:sz w:val="16"/>
              </w:rPr>
              <w:t>____</w:t>
            </w:r>
            <w:r w:rsidR="00AD3963">
              <w:rPr>
                <w:rFonts w:asciiTheme="minorHAnsi" w:hAnsiTheme="minorHAnsi" w:cstheme="minorHAnsi"/>
                <w:sz w:val="16"/>
              </w:rPr>
              <w:t>12/7</w:t>
            </w:r>
            <w:r w:rsidR="006473F5">
              <w:rPr>
                <w:rFonts w:asciiTheme="minorHAnsi" w:hAnsiTheme="minorHAnsi" w:cstheme="minorHAnsi"/>
                <w:sz w:val="16"/>
              </w:rPr>
              <w:t>_________</w:t>
            </w:r>
          </w:p>
          <w:p w14:paraId="5880B15F" w14:textId="76AB4B84" w:rsidR="00234697" w:rsidRPr="00BF3750" w:rsidRDefault="00234697" w:rsidP="006473F5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L’elasticità dei costi passa a </w:t>
            </w:r>
            <w:r w:rsidR="006473F5">
              <w:rPr>
                <w:rFonts w:asciiTheme="minorHAnsi" w:hAnsiTheme="minorHAnsi" w:cstheme="minorHAnsi"/>
                <w:sz w:val="16"/>
              </w:rPr>
              <w:t>___</w:t>
            </w:r>
            <w:r w:rsidR="00AD3963">
              <w:rPr>
                <w:rFonts w:asciiTheme="minorHAnsi" w:hAnsiTheme="minorHAnsi" w:cstheme="minorHAnsi"/>
                <w:sz w:val="16"/>
              </w:rPr>
              <w:t>6/11</w:t>
            </w:r>
            <w:r w:rsidR="006473F5">
              <w:rPr>
                <w:rFonts w:asciiTheme="minorHAnsi" w:hAnsiTheme="minorHAnsi" w:cstheme="minorHAnsi"/>
                <w:sz w:val="16"/>
              </w:rPr>
              <w:t>________</w:t>
            </w:r>
          </w:p>
        </w:tc>
      </w:tr>
      <w:tr w:rsidR="00234697" w:rsidRPr="00BF3750" w14:paraId="73322A46" w14:textId="77777777" w:rsidTr="008E7523">
        <w:trPr>
          <w:trHeight w:val="719"/>
        </w:trPr>
        <w:tc>
          <w:tcPr>
            <w:tcW w:w="4968" w:type="dxa"/>
          </w:tcPr>
          <w:p w14:paraId="080FC3D2" w14:textId="0D2950CA" w:rsidR="00234697" w:rsidRDefault="00234697" w:rsidP="00675910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L’elasticità dei costi </w:t>
            </w:r>
            <w:r>
              <w:rPr>
                <w:rFonts w:asciiTheme="minorHAnsi" w:hAnsiTheme="minorHAnsi" w:cstheme="minorHAnsi"/>
                <w:sz w:val="16"/>
              </w:rPr>
              <w:t xml:space="preserve">(CV/CT)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è </w:t>
            </w:r>
            <w:r w:rsidR="00A47FE3">
              <w:rPr>
                <w:rFonts w:asciiTheme="minorHAnsi" w:hAnsiTheme="minorHAnsi" w:cstheme="minorHAnsi"/>
                <w:sz w:val="16"/>
              </w:rPr>
              <w:t>0,6</w:t>
            </w:r>
          </w:p>
          <w:p w14:paraId="5FD7F739" w14:textId="15752D2F" w:rsidR="00234697" w:rsidRPr="00BF3750" w:rsidRDefault="00234697" w:rsidP="000554E5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Il margine di contribuzione è pari </w:t>
            </w:r>
            <w:r w:rsidR="000554E5">
              <w:rPr>
                <w:rFonts w:asciiTheme="minorHAnsi" w:hAnsiTheme="minorHAnsi" w:cstheme="minorHAnsi"/>
                <w:sz w:val="16"/>
              </w:rPr>
              <w:t>ai costi variabili</w:t>
            </w:r>
          </w:p>
        </w:tc>
        <w:tc>
          <w:tcPr>
            <w:tcW w:w="5063" w:type="dxa"/>
          </w:tcPr>
          <w:p w14:paraId="7B343ECA" w14:textId="247CEE48" w:rsidR="00234697" w:rsidRPr="00BF3750" w:rsidRDefault="00234697" w:rsidP="00675910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La percentuale di ricarico (mark-up) sui costi variabili è </w:t>
            </w:r>
            <w:r w:rsidR="000554E5">
              <w:rPr>
                <w:rFonts w:asciiTheme="minorHAnsi" w:hAnsiTheme="minorHAnsi" w:cstheme="minorHAnsi"/>
                <w:sz w:val="16"/>
              </w:rPr>
              <w:t>___</w:t>
            </w:r>
            <w:r w:rsidR="00AD3963">
              <w:rPr>
                <w:rFonts w:asciiTheme="minorHAnsi" w:hAnsiTheme="minorHAnsi" w:cstheme="minorHAnsi"/>
                <w:sz w:val="16"/>
              </w:rPr>
              <w:t>100</w:t>
            </w:r>
            <w:r w:rsidR="000554E5">
              <w:rPr>
                <w:rFonts w:asciiTheme="minorHAnsi" w:hAnsiTheme="minorHAnsi" w:cstheme="minorHAnsi"/>
                <w:sz w:val="16"/>
              </w:rPr>
              <w:t xml:space="preserve">____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% </w:t>
            </w:r>
          </w:p>
          <w:p w14:paraId="1E59B99B" w14:textId="67CE0636" w:rsidR="00234697" w:rsidRPr="00BF3750" w:rsidRDefault="00A47FE3" w:rsidP="000554E5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La leva dei prezzi è pari a </w:t>
            </w:r>
            <w:r w:rsidR="00232A54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0554E5">
              <w:rPr>
                <w:rFonts w:asciiTheme="minorHAnsi" w:hAnsiTheme="minorHAnsi" w:cstheme="minorHAnsi"/>
                <w:sz w:val="16"/>
              </w:rPr>
              <w:t>__</w:t>
            </w:r>
            <w:r w:rsidR="00AD3963">
              <w:rPr>
                <w:rFonts w:asciiTheme="minorHAnsi" w:hAnsiTheme="minorHAnsi" w:cstheme="minorHAnsi"/>
                <w:sz w:val="16"/>
              </w:rPr>
              <w:t>6</w:t>
            </w:r>
            <w:r w:rsidR="000554E5">
              <w:rPr>
                <w:rFonts w:asciiTheme="minorHAnsi" w:hAnsiTheme="minorHAnsi" w:cstheme="minorHAnsi"/>
                <w:sz w:val="16"/>
              </w:rPr>
              <w:t>_________</w:t>
            </w:r>
          </w:p>
        </w:tc>
      </w:tr>
      <w:tr w:rsidR="00234697" w:rsidRPr="00BF3750" w14:paraId="507A8823" w14:textId="77777777" w:rsidTr="00B449B9">
        <w:trPr>
          <w:trHeight w:val="1051"/>
        </w:trPr>
        <w:tc>
          <w:tcPr>
            <w:tcW w:w="4968" w:type="dxa"/>
          </w:tcPr>
          <w:p w14:paraId="668CBDC2" w14:textId="099AF293" w:rsidR="00234697" w:rsidRDefault="00234697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Il costo del debito </w:t>
            </w:r>
            <w:r w:rsidR="00253D11">
              <w:rPr>
                <w:rFonts w:asciiTheme="minorHAnsi" w:hAnsiTheme="minorHAnsi" w:cstheme="minorHAnsi"/>
                <w:sz w:val="16"/>
              </w:rPr>
              <w:t xml:space="preserve">è </w:t>
            </w:r>
            <w:r w:rsidR="00A47FE3">
              <w:rPr>
                <w:rFonts w:asciiTheme="minorHAnsi" w:hAnsiTheme="minorHAnsi" w:cstheme="minorHAnsi"/>
                <w:sz w:val="16"/>
              </w:rPr>
              <w:t>4</w:t>
            </w:r>
            <w:r>
              <w:rPr>
                <w:rFonts w:asciiTheme="minorHAnsi" w:hAnsiTheme="minorHAnsi" w:cstheme="minorHAnsi"/>
                <w:sz w:val="16"/>
              </w:rPr>
              <w:t xml:space="preserve">%.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Il costo dell’equity è </w:t>
            </w:r>
            <w:r w:rsidR="00A47FE3">
              <w:rPr>
                <w:rFonts w:asciiTheme="minorHAnsi" w:hAnsiTheme="minorHAnsi" w:cstheme="minorHAnsi"/>
                <w:sz w:val="16"/>
              </w:rPr>
              <w:t>8</w:t>
            </w:r>
            <w:r>
              <w:rPr>
                <w:rFonts w:asciiTheme="minorHAnsi" w:hAnsiTheme="minorHAnsi" w:cstheme="minorHAnsi"/>
                <w:sz w:val="16"/>
              </w:rPr>
              <w:t>%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.</w:t>
            </w:r>
          </w:p>
          <w:p w14:paraId="40589EE8" w14:textId="70B58339" w:rsidR="00234697" w:rsidRPr="008E7523" w:rsidRDefault="00234697" w:rsidP="00A47FE3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La leva finanziaria (Attivo su Equity) è </w:t>
            </w:r>
            <w:r w:rsidR="00A47FE3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5063" w:type="dxa"/>
          </w:tcPr>
          <w:p w14:paraId="22D5058C" w14:textId="65D13F73" w:rsidR="00234697" w:rsidRDefault="00234697" w:rsidP="00A8642C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Il WACC è </w:t>
            </w:r>
            <w:r w:rsidR="00A47FE3">
              <w:rPr>
                <w:rFonts w:asciiTheme="minorHAnsi" w:hAnsiTheme="minorHAnsi" w:cstheme="minorHAnsi"/>
                <w:sz w:val="16"/>
              </w:rPr>
              <w:t>___</w:t>
            </w:r>
            <w:r w:rsidR="00AD3963">
              <w:rPr>
                <w:rFonts w:asciiTheme="minorHAnsi" w:hAnsiTheme="minorHAnsi" w:cstheme="minorHAnsi"/>
                <w:sz w:val="16"/>
              </w:rPr>
              <w:t>6</w:t>
            </w:r>
            <w:r w:rsidR="00A47FE3">
              <w:rPr>
                <w:rFonts w:asciiTheme="minorHAnsi" w:hAnsiTheme="minorHAnsi" w:cstheme="minorHAnsi"/>
                <w:sz w:val="16"/>
              </w:rPr>
              <w:t>______</w:t>
            </w:r>
            <w:r w:rsidR="00232A54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%</w:t>
            </w:r>
          </w:p>
          <w:p w14:paraId="6142887A" w14:textId="277C05F5" w:rsidR="00234697" w:rsidRPr="00BF3750" w:rsidRDefault="00234697" w:rsidP="00A47FE3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Per abbassare il WACC al </w:t>
            </w:r>
            <w:r w:rsidR="00253D11">
              <w:rPr>
                <w:rFonts w:asciiTheme="minorHAnsi" w:hAnsiTheme="minorHAnsi" w:cstheme="minorHAnsi"/>
                <w:sz w:val="16"/>
              </w:rPr>
              <w:t>5</w:t>
            </w:r>
            <w:r>
              <w:rPr>
                <w:rFonts w:asciiTheme="minorHAnsi" w:hAnsiTheme="minorHAnsi" w:cstheme="minorHAnsi"/>
                <w:sz w:val="16"/>
              </w:rPr>
              <w:t>%, a parità di costo dell’Equity</w:t>
            </w:r>
            <w:r w:rsidR="00253D11">
              <w:rPr>
                <w:rFonts w:asciiTheme="minorHAnsi" w:hAnsiTheme="minorHAnsi" w:cstheme="minorHAnsi"/>
                <w:sz w:val="16"/>
              </w:rPr>
              <w:t xml:space="preserve"> e del Debito</w:t>
            </w:r>
            <w:r>
              <w:rPr>
                <w:rFonts w:asciiTheme="minorHAnsi" w:hAnsiTheme="minorHAnsi" w:cstheme="minorHAnsi"/>
                <w:sz w:val="16"/>
              </w:rPr>
              <w:t>, la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leva</w:t>
            </w:r>
            <w:r>
              <w:rPr>
                <w:rFonts w:asciiTheme="minorHAnsi" w:hAnsiTheme="minorHAnsi" w:cstheme="minorHAnsi"/>
                <w:sz w:val="16"/>
              </w:rPr>
              <w:t xml:space="preserve"> finanziaria (Attivo/Equity) va portata a </w:t>
            </w:r>
            <w:r w:rsidR="00A47FE3">
              <w:rPr>
                <w:rFonts w:asciiTheme="minorHAnsi" w:hAnsiTheme="minorHAnsi" w:cstheme="minorHAnsi"/>
                <w:sz w:val="16"/>
              </w:rPr>
              <w:t>__</w:t>
            </w:r>
            <w:r w:rsidR="00AD3963">
              <w:rPr>
                <w:rFonts w:asciiTheme="minorHAnsi" w:hAnsiTheme="minorHAnsi" w:cstheme="minorHAnsi"/>
                <w:sz w:val="16"/>
              </w:rPr>
              <w:t>4</w:t>
            </w:r>
            <w:r w:rsidR="00A47FE3">
              <w:rPr>
                <w:rFonts w:asciiTheme="minorHAnsi" w:hAnsiTheme="minorHAnsi" w:cstheme="minorHAnsi"/>
                <w:sz w:val="16"/>
              </w:rPr>
              <w:t>______</w:t>
            </w:r>
          </w:p>
        </w:tc>
      </w:tr>
      <w:tr w:rsidR="00234697" w:rsidRPr="00BF3750" w14:paraId="209EE236" w14:textId="77777777" w:rsidTr="00B449B9">
        <w:trPr>
          <w:trHeight w:val="870"/>
        </w:trPr>
        <w:tc>
          <w:tcPr>
            <w:tcW w:w="4968" w:type="dxa"/>
          </w:tcPr>
          <w:p w14:paraId="07C57C10" w14:textId="76C5875D" w:rsidR="00234697" w:rsidRPr="00BF3750" w:rsidRDefault="00234697" w:rsidP="00A47FE3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Il ciclo economico (stimato con la durata delle scorte totali: Scorte Totali/Costo del Vendu</w:t>
            </w:r>
            <w:r>
              <w:rPr>
                <w:rFonts w:asciiTheme="minorHAnsi" w:hAnsiTheme="minorHAnsi" w:cstheme="minorHAnsi"/>
                <w:sz w:val="16"/>
              </w:rPr>
              <w:t xml:space="preserve">to) è </w:t>
            </w:r>
            <w:r w:rsidR="008C6755">
              <w:rPr>
                <w:rFonts w:asciiTheme="minorHAnsi" w:hAnsiTheme="minorHAnsi" w:cstheme="minorHAnsi"/>
                <w:sz w:val="16"/>
              </w:rPr>
              <w:t>identico</w:t>
            </w:r>
            <w:r>
              <w:rPr>
                <w:rFonts w:asciiTheme="minorHAnsi" w:hAnsiTheme="minorHAnsi" w:cstheme="minorHAnsi"/>
                <w:sz w:val="16"/>
              </w:rPr>
              <w:t xml:space="preserve"> al ciclo monetario. La r</w:t>
            </w:r>
            <w:r w:rsidR="008C6755">
              <w:rPr>
                <w:rFonts w:asciiTheme="minorHAnsi" w:hAnsiTheme="minorHAnsi" w:cstheme="minorHAnsi"/>
                <w:sz w:val="16"/>
              </w:rPr>
              <w:t xml:space="preserve">otazione delle scorte totali è </w:t>
            </w:r>
            <w:r w:rsidR="00A47FE3">
              <w:rPr>
                <w:rFonts w:asciiTheme="minorHAnsi" w:hAnsiTheme="minorHAnsi" w:cstheme="minorHAnsi"/>
                <w:sz w:val="16"/>
              </w:rPr>
              <w:t>uguale a</w:t>
            </w:r>
            <w:r>
              <w:rPr>
                <w:rFonts w:asciiTheme="minorHAnsi" w:hAnsiTheme="minorHAnsi" w:cstheme="minorHAnsi"/>
                <w:sz w:val="16"/>
              </w:rPr>
              <w:t xml:space="preserve"> quella dei crediti verso clienti. La durata</w:t>
            </w:r>
            <w:r w:rsidR="00A47FE3">
              <w:rPr>
                <w:rFonts w:asciiTheme="minorHAnsi" w:hAnsiTheme="minorHAnsi" w:cstheme="minorHAnsi"/>
                <w:sz w:val="16"/>
              </w:rPr>
              <w:t xml:space="preserve"> dei debiti di fornitura è di 15</w:t>
            </w:r>
            <w:r>
              <w:rPr>
                <w:rFonts w:asciiTheme="minorHAnsi" w:hAnsiTheme="minorHAnsi" w:cstheme="minorHAnsi"/>
                <w:sz w:val="16"/>
              </w:rPr>
              <w:t xml:space="preserve"> giorni. </w:t>
            </w:r>
            <w:r w:rsidRPr="00BF3750">
              <w:rPr>
                <w:rFonts w:asciiTheme="minorHAnsi" w:hAnsiTheme="minorHAnsi" w:cstheme="minorHAnsi"/>
                <w:sz w:val="16"/>
              </w:rPr>
              <w:t>Anno = 360</w:t>
            </w:r>
          </w:p>
        </w:tc>
        <w:tc>
          <w:tcPr>
            <w:tcW w:w="5063" w:type="dxa"/>
          </w:tcPr>
          <w:p w14:paraId="3E352105" w14:textId="77777777" w:rsidR="00234697" w:rsidRDefault="00234697" w:rsidP="0044597B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</w:p>
          <w:p w14:paraId="174080EE" w14:textId="5BFD400D" w:rsidR="00234697" w:rsidRPr="00BF3750" w:rsidRDefault="00234697" w:rsidP="00A47FE3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Il ciclo </w:t>
            </w:r>
            <w:r w:rsidR="00A47FE3">
              <w:rPr>
                <w:rFonts w:asciiTheme="minorHAnsi" w:hAnsiTheme="minorHAnsi" w:cstheme="minorHAnsi"/>
                <w:sz w:val="16"/>
              </w:rPr>
              <w:t>economico</w:t>
            </w:r>
            <w:r>
              <w:rPr>
                <w:rFonts w:asciiTheme="minorHAnsi" w:hAnsiTheme="minorHAnsi" w:cstheme="minorHAnsi"/>
                <w:sz w:val="16"/>
              </w:rPr>
              <w:t xml:space="preserve"> è di </w:t>
            </w:r>
            <w:r w:rsidR="00A47FE3">
              <w:rPr>
                <w:rFonts w:asciiTheme="minorHAnsi" w:hAnsiTheme="minorHAnsi" w:cstheme="minorHAnsi"/>
                <w:sz w:val="16"/>
              </w:rPr>
              <w:t>__</w:t>
            </w:r>
            <w:r w:rsidR="00AD3963">
              <w:rPr>
                <w:rFonts w:asciiTheme="minorHAnsi" w:hAnsiTheme="minorHAnsi" w:cstheme="minorHAnsi"/>
                <w:sz w:val="16"/>
              </w:rPr>
              <w:t>15</w:t>
            </w:r>
            <w:r w:rsidR="00A47FE3">
              <w:rPr>
                <w:rFonts w:asciiTheme="minorHAnsi" w:hAnsiTheme="minorHAnsi" w:cstheme="minorHAnsi"/>
                <w:sz w:val="16"/>
              </w:rPr>
              <w:t>_____</w:t>
            </w:r>
            <w:r>
              <w:rPr>
                <w:rFonts w:asciiTheme="minorHAnsi" w:hAnsiTheme="minorHAnsi" w:cstheme="minorHAnsi"/>
                <w:sz w:val="16"/>
              </w:rPr>
              <w:t xml:space="preserve"> giorni</w:t>
            </w:r>
          </w:p>
        </w:tc>
      </w:tr>
      <w:tr w:rsidR="00234697" w:rsidRPr="00BF3750" w14:paraId="5D2303AB" w14:textId="77777777" w:rsidTr="007D23A9">
        <w:tc>
          <w:tcPr>
            <w:tcW w:w="4968" w:type="dxa"/>
          </w:tcPr>
          <w:p w14:paraId="0A58EA7E" w14:textId="0C752E5C" w:rsidR="00234697" w:rsidRPr="00BF3750" w:rsidRDefault="00234697" w:rsidP="00B449B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I debiti dell’impresa sono </w:t>
            </w:r>
            <w:r w:rsidR="00B449B9">
              <w:rPr>
                <w:rFonts w:asciiTheme="minorHAnsi" w:hAnsiTheme="minorHAnsi" w:cstheme="minorHAnsi"/>
                <w:sz w:val="16"/>
              </w:rPr>
              <w:t>2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volte l’Equity. Il Profitto </w:t>
            </w:r>
            <w:r>
              <w:rPr>
                <w:rFonts w:asciiTheme="minorHAnsi" w:hAnsiTheme="minorHAnsi" w:cstheme="minorHAnsi"/>
                <w:sz w:val="16"/>
              </w:rPr>
              <w:t xml:space="preserve">netto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è </w:t>
            </w:r>
            <w:r>
              <w:rPr>
                <w:rFonts w:asciiTheme="minorHAnsi" w:hAnsiTheme="minorHAnsi" w:cstheme="minorHAnsi"/>
                <w:sz w:val="16"/>
              </w:rPr>
              <w:t xml:space="preserve">pari al </w:t>
            </w:r>
            <w:r w:rsidR="00B449B9">
              <w:rPr>
                <w:rFonts w:asciiTheme="minorHAnsi" w:hAnsiTheme="minorHAnsi" w:cstheme="minorHAnsi"/>
                <w:sz w:val="16"/>
              </w:rPr>
              <w:t>5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% del Fatturato. Il ROE </w:t>
            </w:r>
            <w:r>
              <w:rPr>
                <w:rFonts w:asciiTheme="minorHAnsi" w:hAnsiTheme="minorHAnsi" w:cstheme="minorHAnsi"/>
                <w:sz w:val="16"/>
              </w:rPr>
              <w:t xml:space="preserve">annuale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è </w:t>
            </w:r>
            <w:r>
              <w:rPr>
                <w:rFonts w:asciiTheme="minorHAnsi" w:hAnsiTheme="minorHAnsi" w:cstheme="minorHAnsi"/>
                <w:sz w:val="16"/>
              </w:rPr>
              <w:t xml:space="preserve">pari al </w:t>
            </w:r>
            <w:r w:rsidR="00B449B9">
              <w:rPr>
                <w:rFonts w:asciiTheme="minorHAnsi" w:hAnsiTheme="minorHAnsi" w:cstheme="minorHAnsi"/>
                <w:sz w:val="16"/>
              </w:rPr>
              <w:t>15</w:t>
            </w:r>
            <w:r w:rsidRPr="00BF3750">
              <w:rPr>
                <w:rFonts w:asciiTheme="minorHAnsi" w:hAnsiTheme="minorHAnsi" w:cstheme="minorHAnsi"/>
                <w:sz w:val="16"/>
              </w:rPr>
              <w:t>%</w:t>
            </w:r>
            <w:r>
              <w:rPr>
                <w:rFonts w:asciiTheme="minorHAnsi" w:hAnsiTheme="minorHAnsi" w:cstheme="minorHAnsi"/>
                <w:sz w:val="16"/>
              </w:rPr>
              <w:t xml:space="preserve">. </w:t>
            </w:r>
          </w:p>
        </w:tc>
        <w:tc>
          <w:tcPr>
            <w:tcW w:w="5063" w:type="dxa"/>
          </w:tcPr>
          <w:p w14:paraId="10289215" w14:textId="1D8F0778" w:rsidR="00234697" w:rsidRPr="00BF3750" w:rsidRDefault="00234697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Il Fatturato dell’impresa è </w:t>
            </w:r>
            <w:r w:rsidR="00B449B9">
              <w:rPr>
                <w:rFonts w:asciiTheme="minorHAnsi" w:hAnsiTheme="minorHAnsi" w:cstheme="minorHAnsi"/>
                <w:sz w:val="16"/>
              </w:rPr>
              <w:t>__</w:t>
            </w:r>
            <w:r w:rsidR="00AD3963">
              <w:rPr>
                <w:rFonts w:asciiTheme="minorHAnsi" w:hAnsiTheme="minorHAnsi" w:cstheme="minorHAnsi"/>
                <w:sz w:val="16"/>
              </w:rPr>
              <w:t>1,5</w:t>
            </w:r>
            <w:r w:rsidR="00B449B9">
              <w:rPr>
                <w:rFonts w:asciiTheme="minorHAnsi" w:hAnsiTheme="minorHAnsi" w:cstheme="minorHAnsi"/>
                <w:sz w:val="16"/>
              </w:rPr>
              <w:t>_____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5E4D76">
              <w:rPr>
                <w:rFonts w:asciiTheme="minorHAnsi" w:hAnsiTheme="minorHAnsi" w:cstheme="minorHAnsi"/>
                <w:sz w:val="16"/>
              </w:rPr>
              <w:t xml:space="preserve">volte i </w:t>
            </w:r>
            <w:r>
              <w:rPr>
                <w:rFonts w:asciiTheme="minorHAnsi" w:hAnsiTheme="minorHAnsi" w:cstheme="minorHAnsi"/>
                <w:sz w:val="16"/>
              </w:rPr>
              <w:t>Debiti</w:t>
            </w:r>
          </w:p>
          <w:p w14:paraId="7F78ECD7" w14:textId="131E4AC8" w:rsidR="00234697" w:rsidRPr="00BF3750" w:rsidRDefault="00234697" w:rsidP="00B449B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 parità di rotazione dell’attivo, e di redditività delle vendite, per aumentare il ROE e portarlo al nuovo valore obiettivo del </w:t>
            </w:r>
            <w:r w:rsidR="00673210">
              <w:rPr>
                <w:rFonts w:asciiTheme="minorHAnsi" w:hAnsiTheme="minorHAnsi" w:cstheme="minorHAnsi"/>
                <w:sz w:val="16"/>
              </w:rPr>
              <w:t>30</w:t>
            </w:r>
            <w:r>
              <w:rPr>
                <w:rFonts w:asciiTheme="minorHAnsi" w:hAnsiTheme="minorHAnsi" w:cstheme="minorHAnsi"/>
                <w:sz w:val="16"/>
              </w:rPr>
              <w:t xml:space="preserve">% l’impresa intende modificare il rapporto di leva finanziaria. In tal caso, i debiti dovranno diventare pari </w:t>
            </w:r>
            <w:r w:rsidR="00232A54">
              <w:rPr>
                <w:rFonts w:asciiTheme="minorHAnsi" w:hAnsiTheme="minorHAnsi" w:cstheme="minorHAnsi"/>
                <w:sz w:val="16"/>
              </w:rPr>
              <w:t xml:space="preserve">a </w:t>
            </w:r>
            <w:r w:rsidR="00B449B9">
              <w:rPr>
                <w:rFonts w:asciiTheme="minorHAnsi" w:hAnsiTheme="minorHAnsi" w:cstheme="minorHAnsi"/>
                <w:sz w:val="16"/>
              </w:rPr>
              <w:t>___</w:t>
            </w:r>
            <w:r w:rsidR="00AD3963">
              <w:rPr>
                <w:rFonts w:asciiTheme="minorHAnsi" w:hAnsiTheme="minorHAnsi" w:cstheme="minorHAnsi"/>
                <w:sz w:val="16"/>
              </w:rPr>
              <w:t>5</w:t>
            </w:r>
            <w:r w:rsidR="00B449B9">
              <w:rPr>
                <w:rFonts w:asciiTheme="minorHAnsi" w:hAnsiTheme="minorHAnsi" w:cstheme="minorHAnsi"/>
                <w:sz w:val="16"/>
              </w:rPr>
              <w:t>_____</w:t>
            </w:r>
            <w:r>
              <w:rPr>
                <w:rFonts w:asciiTheme="minorHAnsi" w:hAnsiTheme="minorHAnsi" w:cstheme="minorHAnsi"/>
                <w:sz w:val="16"/>
              </w:rPr>
              <w:t xml:space="preserve"> volte l’Equity, a parità di altri fattori.</w:t>
            </w:r>
          </w:p>
        </w:tc>
      </w:tr>
    </w:tbl>
    <w:p w14:paraId="6199B707" w14:textId="3231AB25" w:rsidR="00C57924" w:rsidRPr="007B5776" w:rsidRDefault="009A0512" w:rsidP="007B577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18"/>
        </w:rPr>
      </w:pPr>
      <w:r w:rsidRPr="007B5776">
        <w:rPr>
          <w:rFonts w:asciiTheme="minorHAnsi" w:hAnsiTheme="minorHAnsi" w:cstheme="minorHAnsi"/>
          <w:sz w:val="18"/>
        </w:rPr>
        <w:lastRenderedPageBreak/>
        <w:t xml:space="preserve">Le seguenti proposizioni possono essere vere (V) o false (F). Si metta una </w:t>
      </w:r>
      <w:r w:rsidRPr="007B5776">
        <w:rPr>
          <w:rFonts w:asciiTheme="minorHAnsi" w:hAnsiTheme="minorHAnsi" w:cstheme="minorHAnsi"/>
          <w:b/>
          <w:sz w:val="18"/>
        </w:rPr>
        <w:t>crocetta</w:t>
      </w:r>
      <w:r w:rsidRPr="007B5776">
        <w:rPr>
          <w:rFonts w:asciiTheme="minorHAnsi" w:hAnsiTheme="minorHAnsi" w:cstheme="minorHAnsi"/>
          <w:sz w:val="18"/>
        </w:rPr>
        <w:t xml:space="preserve"> sulla colonna appropriata. </w:t>
      </w:r>
      <w:r w:rsidR="00AE19FF" w:rsidRPr="007B5776">
        <w:rPr>
          <w:rFonts w:asciiTheme="minorHAnsi" w:hAnsiTheme="minorHAnsi" w:cstheme="minorHAnsi"/>
          <w:sz w:val="18"/>
        </w:rPr>
        <w:t>E’ previsto u</w:t>
      </w:r>
      <w:r w:rsidRPr="007B5776">
        <w:rPr>
          <w:rFonts w:asciiTheme="minorHAnsi" w:hAnsiTheme="minorHAnsi" w:cstheme="minorHAnsi"/>
          <w:sz w:val="18"/>
        </w:rPr>
        <w:t xml:space="preserve">n punto di </w:t>
      </w:r>
      <w:r w:rsidRPr="00F71774">
        <w:rPr>
          <w:rFonts w:asciiTheme="minorHAnsi" w:hAnsiTheme="minorHAnsi" w:cstheme="minorHAnsi"/>
          <w:b/>
          <w:sz w:val="18"/>
        </w:rPr>
        <w:t>penalizzazione</w:t>
      </w:r>
      <w:r w:rsidRPr="007B5776">
        <w:rPr>
          <w:rFonts w:asciiTheme="minorHAnsi" w:hAnsiTheme="minorHAnsi" w:cstheme="minorHAnsi"/>
          <w:sz w:val="18"/>
        </w:rPr>
        <w:t xml:space="preserve"> per ogni risposta sbagliata. Nessun punto</w:t>
      </w:r>
      <w:r w:rsidR="00AE19FF" w:rsidRPr="007B5776">
        <w:rPr>
          <w:rFonts w:asciiTheme="minorHAnsi" w:hAnsiTheme="minorHAnsi" w:cstheme="minorHAnsi"/>
          <w:sz w:val="18"/>
        </w:rPr>
        <w:t xml:space="preserve"> di penalizzazione, invece,</w:t>
      </w:r>
      <w:r w:rsidRPr="007B5776">
        <w:rPr>
          <w:rFonts w:asciiTheme="minorHAnsi" w:hAnsiTheme="minorHAnsi" w:cstheme="minorHAnsi"/>
          <w:sz w:val="18"/>
        </w:rPr>
        <w:t xml:space="preserve"> per </w:t>
      </w:r>
      <w:r w:rsidR="00AE19FF" w:rsidRPr="007B5776">
        <w:rPr>
          <w:rFonts w:asciiTheme="minorHAnsi" w:hAnsiTheme="minorHAnsi" w:cstheme="minorHAnsi"/>
          <w:sz w:val="18"/>
        </w:rPr>
        <w:t>le risposte non date</w:t>
      </w:r>
      <w:r w:rsidRPr="007B5776">
        <w:rPr>
          <w:rFonts w:asciiTheme="minorHAnsi" w:hAnsiTheme="minorHAnsi" w:cstheme="minorHAnsi"/>
          <w:sz w:val="18"/>
        </w:rPr>
        <w:t xml:space="preserve">. </w:t>
      </w:r>
    </w:p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9917"/>
        <w:gridCol w:w="365"/>
        <w:gridCol w:w="350"/>
      </w:tblGrid>
      <w:tr w:rsidR="007E22CD" w:rsidRPr="00C57924" w14:paraId="42F937F2" w14:textId="77777777" w:rsidTr="000C5E34">
        <w:tc>
          <w:tcPr>
            <w:tcW w:w="9781" w:type="dxa"/>
          </w:tcPr>
          <w:p w14:paraId="0CF3DB02" w14:textId="77777777" w:rsidR="007E22CD" w:rsidRPr="00681FF0" w:rsidRDefault="007E22CD" w:rsidP="00133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" w:type="dxa"/>
          </w:tcPr>
          <w:p w14:paraId="02259952" w14:textId="77777777" w:rsidR="007E22CD" w:rsidRPr="00C5792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V</w:t>
            </w:r>
          </w:p>
        </w:tc>
        <w:tc>
          <w:tcPr>
            <w:tcW w:w="345" w:type="dxa"/>
          </w:tcPr>
          <w:p w14:paraId="77779E1A" w14:textId="77777777" w:rsidR="007E22CD" w:rsidRPr="00C5792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C57924">
              <w:rPr>
                <w:rFonts w:asciiTheme="minorHAnsi" w:hAnsiTheme="minorHAnsi" w:cstheme="minorHAnsi"/>
                <w:sz w:val="18"/>
                <w:lang w:val="en-US"/>
              </w:rPr>
              <w:t>F</w:t>
            </w:r>
          </w:p>
        </w:tc>
      </w:tr>
      <w:tr w:rsidR="001440F5" w:rsidRPr="00A05B8C" w14:paraId="30859DF8" w14:textId="77777777" w:rsidTr="000C5E34">
        <w:tc>
          <w:tcPr>
            <w:tcW w:w="9781" w:type="dxa"/>
          </w:tcPr>
          <w:p w14:paraId="6C869207" w14:textId="1A713A28" w:rsidR="001440F5" w:rsidRPr="00A05B8C" w:rsidRDefault="001440F5" w:rsidP="00A273A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Con la crescita del grado di integrazione verticale, </w:t>
            </w:r>
            <w:r w:rsidR="00A273AA">
              <w:rPr>
                <w:rFonts w:asciiTheme="minorHAnsi" w:hAnsiTheme="minorHAnsi" w:cstheme="minorHAnsi"/>
                <w:sz w:val="18"/>
              </w:rPr>
              <w:t>si riduce la leva operativa</w:t>
            </w:r>
          </w:p>
        </w:tc>
        <w:tc>
          <w:tcPr>
            <w:tcW w:w="360" w:type="dxa"/>
          </w:tcPr>
          <w:p w14:paraId="019CFB40" w14:textId="58846C4C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7E5F7E85" w14:textId="0C279960" w:rsidR="001440F5" w:rsidRPr="00A05B8C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605E01" w14:paraId="05093771" w14:textId="77777777" w:rsidTr="000C5E34">
        <w:tc>
          <w:tcPr>
            <w:tcW w:w="9781" w:type="dxa"/>
          </w:tcPr>
          <w:p w14:paraId="1109F675" w14:textId="59D0DD51" w:rsidR="001440F5" w:rsidRPr="00605E01" w:rsidRDefault="00A273AA" w:rsidP="00024B8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attività primarie della catena del valore generano soprattutto costi variabili</w:t>
            </w:r>
            <w:r w:rsidR="001440F5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0" w:type="dxa"/>
          </w:tcPr>
          <w:p w14:paraId="4640A54B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9121054" w14:textId="6633AC9F" w:rsidR="001440F5" w:rsidRPr="00605E01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C80C94" w14:paraId="21E25915" w14:textId="77777777" w:rsidTr="000C5E34">
        <w:tc>
          <w:tcPr>
            <w:tcW w:w="9781" w:type="dxa"/>
          </w:tcPr>
          <w:p w14:paraId="4DA0A41F" w14:textId="28484616" w:rsidR="001440F5" w:rsidRPr="00C80C94" w:rsidRDefault="001440F5" w:rsidP="00CE1D8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Gli</w:t>
            </w:r>
            <w:r w:rsidR="00A273AA">
              <w:rPr>
                <w:rFonts w:asciiTheme="minorHAnsi" w:hAnsiTheme="minorHAnsi" w:cstheme="minorHAnsi"/>
                <w:sz w:val="18"/>
              </w:rPr>
              <w:t xml:space="preserve"> azionisti sono stakeholder </w:t>
            </w:r>
            <w:r w:rsidR="00CE1D87">
              <w:rPr>
                <w:rFonts w:asciiTheme="minorHAnsi" w:hAnsiTheme="minorHAnsi" w:cstheme="minorHAnsi"/>
                <w:sz w:val="18"/>
              </w:rPr>
              <w:t>primari</w:t>
            </w:r>
            <w:r w:rsidR="00A273AA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E1D87">
              <w:rPr>
                <w:rFonts w:asciiTheme="minorHAnsi" w:hAnsiTheme="minorHAnsi" w:cstheme="minorHAnsi"/>
                <w:sz w:val="18"/>
              </w:rPr>
              <w:t>di una società per azioni</w:t>
            </w:r>
          </w:p>
        </w:tc>
        <w:tc>
          <w:tcPr>
            <w:tcW w:w="360" w:type="dxa"/>
          </w:tcPr>
          <w:p w14:paraId="26C50A56" w14:textId="67724B2B" w:rsidR="001440F5" w:rsidRPr="00C80C94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702A4D3F" w14:textId="65D9C97D" w:rsidR="001440F5" w:rsidRPr="00C80C94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605E01" w14:paraId="789D33B6" w14:textId="77777777" w:rsidTr="000C5E34">
        <w:tc>
          <w:tcPr>
            <w:tcW w:w="9781" w:type="dxa"/>
          </w:tcPr>
          <w:p w14:paraId="03804363" w14:textId="30BCAA14" w:rsidR="001440F5" w:rsidRPr="009C53E4" w:rsidRDefault="001440F5" w:rsidP="004D202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consiglieri di amministrazione indipendenti </w:t>
            </w:r>
            <w:r w:rsidR="004D2025">
              <w:rPr>
                <w:rFonts w:asciiTheme="minorHAnsi" w:hAnsiTheme="minorHAnsi" w:cstheme="minorHAnsi"/>
                <w:sz w:val="18"/>
              </w:rPr>
              <w:t>possono avere ruoli esecutivi nell’impresa</w:t>
            </w:r>
          </w:p>
        </w:tc>
        <w:tc>
          <w:tcPr>
            <w:tcW w:w="360" w:type="dxa"/>
          </w:tcPr>
          <w:p w14:paraId="6AA5EEC0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7AC52805" w14:textId="26BA90AE" w:rsidR="001440F5" w:rsidRPr="00605E01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605E01" w14:paraId="45D88AAC" w14:textId="77777777" w:rsidTr="000C5E34">
        <w:tc>
          <w:tcPr>
            <w:tcW w:w="9781" w:type="dxa"/>
          </w:tcPr>
          <w:p w14:paraId="41D5BC89" w14:textId="2692E994" w:rsidR="001440F5" w:rsidRPr="00605E01" w:rsidRDefault="003F5699" w:rsidP="0065657E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L’EBITDA </w:t>
            </w:r>
            <w:r w:rsidR="0065657E">
              <w:rPr>
                <w:rFonts w:asciiTheme="minorHAnsi" w:hAnsiTheme="minorHAnsi" w:cstheme="minorHAnsi"/>
                <w:sz w:val="18"/>
              </w:rPr>
              <w:t>viene</w:t>
            </w:r>
            <w:r w:rsidR="004D2025">
              <w:rPr>
                <w:rFonts w:asciiTheme="minorHAnsi" w:hAnsiTheme="minorHAnsi" w:cstheme="minorHAnsi"/>
                <w:sz w:val="18"/>
              </w:rPr>
              <w:t xml:space="preserve"> utilizzato per il calcolo di uno dei rapporti della formula Dupont</w:t>
            </w:r>
          </w:p>
        </w:tc>
        <w:tc>
          <w:tcPr>
            <w:tcW w:w="360" w:type="dxa"/>
          </w:tcPr>
          <w:p w14:paraId="3FAEB181" w14:textId="5F8CC9D9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2BDC849F" w14:textId="5E4D37CE" w:rsidR="001440F5" w:rsidRPr="00605E01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605E01" w14:paraId="5333C483" w14:textId="77777777" w:rsidTr="000C5E34">
        <w:tc>
          <w:tcPr>
            <w:tcW w:w="9781" w:type="dxa"/>
          </w:tcPr>
          <w:p w14:paraId="1F4CCA31" w14:textId="24A538B5" w:rsidR="001440F5" w:rsidRPr="00605E01" w:rsidRDefault="001440F5" w:rsidP="004D202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costi di obsolescenza </w:t>
            </w:r>
            <w:r w:rsidR="004D2025">
              <w:rPr>
                <w:rFonts w:asciiTheme="minorHAnsi" w:hAnsiTheme="minorHAnsi" w:cstheme="minorHAnsi"/>
                <w:sz w:val="18"/>
              </w:rPr>
              <w:t>sono misurati dalla differenza tra prezzo di vendita e costo fisso unitario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0" w:type="dxa"/>
          </w:tcPr>
          <w:p w14:paraId="5FF58E3E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6A5ED58F" w14:textId="5362B672" w:rsidR="001440F5" w:rsidRPr="00605E01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A05B8C" w14:paraId="5921A824" w14:textId="77777777" w:rsidTr="000C5E34">
        <w:tc>
          <w:tcPr>
            <w:tcW w:w="9781" w:type="dxa"/>
          </w:tcPr>
          <w:p w14:paraId="0406AF35" w14:textId="1F5CAA69" w:rsidR="001440F5" w:rsidRPr="00A05B8C" w:rsidRDefault="001440F5" w:rsidP="0065657E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costo dell’equity è </w:t>
            </w:r>
            <w:r w:rsidR="0065657E">
              <w:rPr>
                <w:rFonts w:asciiTheme="minorHAnsi" w:hAnsiTheme="minorHAnsi" w:cstheme="minorHAnsi"/>
                <w:sz w:val="18"/>
              </w:rPr>
              <w:t>maggiore del costo del debito. Pertanto, al crescere del rapporto di leva finanziaria, il WACC si riduce</w:t>
            </w:r>
          </w:p>
        </w:tc>
        <w:tc>
          <w:tcPr>
            <w:tcW w:w="360" w:type="dxa"/>
          </w:tcPr>
          <w:p w14:paraId="0F7C4106" w14:textId="0CFE20BD" w:rsidR="001440F5" w:rsidRPr="00A05B8C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CD74292" w14:textId="77777777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605E01" w14:paraId="32735C88" w14:textId="77777777" w:rsidTr="000C5E34">
        <w:tc>
          <w:tcPr>
            <w:tcW w:w="9781" w:type="dxa"/>
          </w:tcPr>
          <w:p w14:paraId="7B3C4364" w14:textId="23E6AA85" w:rsidR="001440F5" w:rsidRPr="00605E01" w:rsidRDefault="001440F5" w:rsidP="0065657E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fatturato per addetto è </w:t>
            </w:r>
            <w:r w:rsidR="000C2F89">
              <w:rPr>
                <w:rFonts w:asciiTheme="minorHAnsi" w:hAnsiTheme="minorHAnsi" w:cstheme="minorHAnsi"/>
                <w:sz w:val="18"/>
              </w:rPr>
              <w:t>di regola superiore al valore aggiunto per addetto</w:t>
            </w:r>
          </w:p>
        </w:tc>
        <w:tc>
          <w:tcPr>
            <w:tcW w:w="360" w:type="dxa"/>
          </w:tcPr>
          <w:p w14:paraId="51F25D1F" w14:textId="0C3AA6AA" w:rsidR="001440F5" w:rsidRPr="00605E01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9EB4999" w14:textId="61E0DD6F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605E01" w14:paraId="28CA0735" w14:textId="77777777" w:rsidTr="000C5E34">
        <w:tc>
          <w:tcPr>
            <w:tcW w:w="9781" w:type="dxa"/>
          </w:tcPr>
          <w:p w14:paraId="0EB1A11B" w14:textId="58E63AE0" w:rsidR="001440F5" w:rsidRPr="00605E01" w:rsidRDefault="000C2F89" w:rsidP="000C2F8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settore della telefonia mobile adotta </w:t>
            </w:r>
            <w:r w:rsidR="001440F5">
              <w:rPr>
                <w:rFonts w:asciiTheme="minorHAnsi" w:hAnsiTheme="minorHAnsi" w:cstheme="minorHAnsi"/>
                <w:sz w:val="18"/>
              </w:rPr>
              <w:t>pratiche di revenue management</w:t>
            </w:r>
          </w:p>
        </w:tc>
        <w:tc>
          <w:tcPr>
            <w:tcW w:w="360" w:type="dxa"/>
          </w:tcPr>
          <w:p w14:paraId="4F7E382A" w14:textId="41187D7B" w:rsidR="001440F5" w:rsidRPr="00605E01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383D754E" w14:textId="0A9BE250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605E01" w14:paraId="0C99F2E2" w14:textId="77777777" w:rsidTr="000C5E34">
        <w:tc>
          <w:tcPr>
            <w:tcW w:w="9781" w:type="dxa"/>
          </w:tcPr>
          <w:p w14:paraId="698335DF" w14:textId="5299B2D7" w:rsidR="001440F5" w:rsidRPr="00605E01" w:rsidRDefault="001440F5" w:rsidP="000C2F8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In corrispondenza al punto di pareggio, i </w:t>
            </w:r>
            <w:r w:rsidR="000C2F89">
              <w:rPr>
                <w:rFonts w:asciiTheme="minorHAnsi" w:hAnsiTheme="minorHAnsi" w:cstheme="minorHAnsi"/>
                <w:sz w:val="18"/>
              </w:rPr>
              <w:t>margini di contribuzione sono pari ai costi fissi</w:t>
            </w:r>
            <w:r>
              <w:rPr>
                <w:rFonts w:asciiTheme="minorHAnsi" w:hAnsiTheme="minorHAnsi" w:cstheme="minorHAnsi"/>
                <w:sz w:val="18"/>
              </w:rPr>
              <w:t xml:space="preserve"> per definizione</w:t>
            </w:r>
          </w:p>
        </w:tc>
        <w:tc>
          <w:tcPr>
            <w:tcW w:w="360" w:type="dxa"/>
          </w:tcPr>
          <w:p w14:paraId="69B6A000" w14:textId="6392BA96" w:rsidR="001440F5" w:rsidRPr="00605E01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1E2500BC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A05B8C" w14:paraId="58F33084" w14:textId="77777777" w:rsidTr="000C5E34">
        <w:tc>
          <w:tcPr>
            <w:tcW w:w="9781" w:type="dxa"/>
          </w:tcPr>
          <w:p w14:paraId="09077FA1" w14:textId="1ED5A070" w:rsidR="001440F5" w:rsidRPr="00A05B8C" w:rsidRDefault="001440F5" w:rsidP="000C2F8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L’integrazione a</w:t>
            </w:r>
            <w:r w:rsidR="000C2F89">
              <w:rPr>
                <w:rFonts w:asciiTheme="minorHAnsi" w:hAnsiTheme="minorHAnsi" w:cstheme="minorHAnsi"/>
                <w:sz w:val="18"/>
              </w:rPr>
              <w:t xml:space="preserve"> monte riduce l’elasticità dei costi, quella a valle la aumenta</w:t>
            </w:r>
          </w:p>
        </w:tc>
        <w:tc>
          <w:tcPr>
            <w:tcW w:w="360" w:type="dxa"/>
          </w:tcPr>
          <w:p w14:paraId="7FB7E773" w14:textId="39D4C44C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4D372E2C" w14:textId="0F0D03B5" w:rsidR="001440F5" w:rsidRPr="00A05B8C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815293" w14:paraId="409F4DC3" w14:textId="77777777" w:rsidTr="000C5E34">
        <w:tc>
          <w:tcPr>
            <w:tcW w:w="9781" w:type="dxa"/>
          </w:tcPr>
          <w:p w14:paraId="04990C54" w14:textId="22FA5E33" w:rsidR="001440F5" w:rsidRPr="00815293" w:rsidRDefault="001440F5" w:rsidP="000C2F8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La competitività delle imprese </w:t>
            </w:r>
            <w:r w:rsidR="000C2F89">
              <w:rPr>
                <w:rFonts w:asciiTheme="minorHAnsi" w:hAnsiTheme="minorHAnsi" w:cstheme="minorHAnsi"/>
                <w:sz w:val="18"/>
                <w:szCs w:val="18"/>
              </w:rPr>
              <w:t>dipende anche dalla loro dimensione, specialmente nei settori in cui sono maggiori le economie di scala</w:t>
            </w:r>
          </w:p>
        </w:tc>
        <w:tc>
          <w:tcPr>
            <w:tcW w:w="360" w:type="dxa"/>
          </w:tcPr>
          <w:p w14:paraId="7E7A93DB" w14:textId="0153E9DC" w:rsidR="001440F5" w:rsidRPr="00815293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345" w:type="dxa"/>
          </w:tcPr>
          <w:p w14:paraId="3F87323E" w14:textId="77777777" w:rsidR="001440F5" w:rsidRPr="00815293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0F5" w:rsidRPr="00A05B8C" w14:paraId="7803F8AB" w14:textId="77777777" w:rsidTr="000C5E34">
        <w:tc>
          <w:tcPr>
            <w:tcW w:w="9781" w:type="dxa"/>
          </w:tcPr>
          <w:p w14:paraId="3A77187E" w14:textId="5B69F0FE" w:rsidR="001440F5" w:rsidRPr="00A05B8C" w:rsidRDefault="001440F5" w:rsidP="000C2F8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definizione del business </w:t>
            </w:r>
            <w:r w:rsidR="000C2F89">
              <w:rPr>
                <w:rFonts w:asciiTheme="minorHAnsi" w:hAnsiTheme="minorHAnsi" w:cstheme="minorHAnsi"/>
                <w:sz w:val="18"/>
              </w:rPr>
              <w:t xml:space="preserve">può essere ampia o focalizzata. In entrambi i casi, è bene sviluppare qualche forma di differenziazione competitiva </w:t>
            </w:r>
          </w:p>
        </w:tc>
        <w:tc>
          <w:tcPr>
            <w:tcW w:w="360" w:type="dxa"/>
          </w:tcPr>
          <w:p w14:paraId="05F36DC6" w14:textId="0B3F4BC1" w:rsidR="001440F5" w:rsidRPr="00A05B8C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66C6E9CB" w14:textId="77777777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A05B8C" w14:paraId="17542A50" w14:textId="77777777" w:rsidTr="000C5E34">
        <w:tc>
          <w:tcPr>
            <w:tcW w:w="9781" w:type="dxa"/>
          </w:tcPr>
          <w:p w14:paraId="4B67B5DA" w14:textId="186D136A" w:rsidR="001440F5" w:rsidRPr="00A05B8C" w:rsidRDefault="001440F5" w:rsidP="000C2F8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dimensione d’impresa </w:t>
            </w:r>
            <w:r w:rsidR="000C2F89">
              <w:rPr>
                <w:rFonts w:asciiTheme="minorHAnsi" w:hAnsiTheme="minorHAnsi" w:cstheme="minorHAnsi"/>
                <w:sz w:val="18"/>
              </w:rPr>
              <w:t>e la produttività del lavoro sono variabili del tutto indipendenti</w:t>
            </w:r>
          </w:p>
        </w:tc>
        <w:tc>
          <w:tcPr>
            <w:tcW w:w="360" w:type="dxa"/>
          </w:tcPr>
          <w:p w14:paraId="64B83E3D" w14:textId="77777777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0B38A665" w14:textId="1649F2C0" w:rsidR="001440F5" w:rsidRPr="00A05B8C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605E01" w14:paraId="48F81F36" w14:textId="77777777" w:rsidTr="000C5E34">
        <w:tc>
          <w:tcPr>
            <w:tcW w:w="9781" w:type="dxa"/>
          </w:tcPr>
          <w:p w14:paraId="12E80CB1" w14:textId="184BB3F5" w:rsidR="001440F5" w:rsidRPr="00605E01" w:rsidRDefault="001440F5" w:rsidP="000C2F8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leva finanziaria e la leva operativa </w:t>
            </w:r>
            <w:r w:rsidR="000C2F89">
              <w:rPr>
                <w:rFonts w:asciiTheme="minorHAnsi" w:hAnsiTheme="minorHAnsi" w:cstheme="minorHAnsi"/>
                <w:sz w:val="18"/>
              </w:rPr>
              <w:t>non si muovono mai nella stessa direzione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0" w:type="dxa"/>
          </w:tcPr>
          <w:p w14:paraId="6B3B9CAB" w14:textId="286112F1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68F63911" w14:textId="2DF2613E" w:rsidR="001440F5" w:rsidRPr="00605E01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605E01" w14:paraId="3B72F580" w14:textId="77777777" w:rsidTr="000C5E34">
        <w:tc>
          <w:tcPr>
            <w:tcW w:w="9781" w:type="dxa"/>
          </w:tcPr>
          <w:p w14:paraId="71D232E1" w14:textId="57A4337D" w:rsidR="001440F5" w:rsidRPr="00605E01" w:rsidRDefault="001440F5" w:rsidP="000C2F8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leva operativa (MCT/Profitto) </w:t>
            </w:r>
            <w:r w:rsidR="000C2F89">
              <w:rPr>
                <w:rFonts w:asciiTheme="minorHAnsi" w:hAnsiTheme="minorHAnsi" w:cstheme="minorHAnsi"/>
                <w:sz w:val="18"/>
              </w:rPr>
              <w:t>può essere superiore alla leva degli acquisti (Costi di Acquisto/Profitto)</w:t>
            </w:r>
          </w:p>
        </w:tc>
        <w:tc>
          <w:tcPr>
            <w:tcW w:w="360" w:type="dxa"/>
          </w:tcPr>
          <w:p w14:paraId="27F6E0E5" w14:textId="46894D2B" w:rsidR="001440F5" w:rsidRPr="00605E01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451E6E1C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C80C94" w14:paraId="25FBA987" w14:textId="77777777" w:rsidTr="000C5E34">
        <w:tc>
          <w:tcPr>
            <w:tcW w:w="9781" w:type="dxa"/>
          </w:tcPr>
          <w:p w14:paraId="4440F45C" w14:textId="42F59BB8" w:rsidR="001440F5" w:rsidRPr="00C80C94" w:rsidRDefault="001440F5" w:rsidP="006925A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ricerca di economie di scopo </w:t>
            </w:r>
            <w:r w:rsidR="006925A1">
              <w:rPr>
                <w:rFonts w:asciiTheme="minorHAnsi" w:hAnsiTheme="minorHAnsi" w:cstheme="minorHAnsi"/>
                <w:sz w:val="18"/>
              </w:rPr>
              <w:t>è tipica delle imprese con modelli di governance familiare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0" w:type="dxa"/>
          </w:tcPr>
          <w:p w14:paraId="0AEB447E" w14:textId="088A3F1F" w:rsidR="001440F5" w:rsidRPr="00C80C94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7EAF4BCB" w14:textId="1C625150" w:rsidR="001440F5" w:rsidRPr="00C80C94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605E01" w14:paraId="0682A814" w14:textId="77777777" w:rsidTr="000C5E34">
        <w:tc>
          <w:tcPr>
            <w:tcW w:w="9781" w:type="dxa"/>
          </w:tcPr>
          <w:p w14:paraId="42A36068" w14:textId="064061F0" w:rsidR="001440F5" w:rsidRPr="00605E01" w:rsidRDefault="006925A1" w:rsidP="00B53C3F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imprese diversificate possono essere più rischiose delle imprese mono-business</w:t>
            </w:r>
          </w:p>
        </w:tc>
        <w:tc>
          <w:tcPr>
            <w:tcW w:w="360" w:type="dxa"/>
          </w:tcPr>
          <w:p w14:paraId="10B650BF" w14:textId="02D62E67" w:rsidR="001440F5" w:rsidRPr="00605E01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3D44767F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A05B8C" w14:paraId="36244117" w14:textId="77777777" w:rsidTr="000C5E34">
        <w:tc>
          <w:tcPr>
            <w:tcW w:w="9781" w:type="dxa"/>
          </w:tcPr>
          <w:p w14:paraId="5D76B4BF" w14:textId="49905C6E" w:rsidR="001440F5" w:rsidRPr="00A05B8C" w:rsidRDefault="006925A1" w:rsidP="006925A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Secondo la legge italiana, l</w:t>
            </w:r>
            <w:r w:rsidR="001440F5">
              <w:rPr>
                <w:rFonts w:asciiTheme="minorHAnsi" w:hAnsiTheme="minorHAnsi" w:cstheme="minorHAnsi"/>
                <w:sz w:val="18"/>
              </w:rPr>
              <w:t xml:space="preserve">e imprese di proprietà dello Stato </w:t>
            </w:r>
            <w:r>
              <w:rPr>
                <w:rFonts w:asciiTheme="minorHAnsi" w:hAnsiTheme="minorHAnsi" w:cstheme="minorHAnsi"/>
                <w:sz w:val="18"/>
              </w:rPr>
              <w:t>devono essere quotate in Borsa</w:t>
            </w:r>
          </w:p>
        </w:tc>
        <w:tc>
          <w:tcPr>
            <w:tcW w:w="360" w:type="dxa"/>
          </w:tcPr>
          <w:p w14:paraId="2E00E70B" w14:textId="77777777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73AC5ACC" w14:textId="6DBECBB4" w:rsidR="001440F5" w:rsidRPr="00A05B8C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1E759A" w14:paraId="00681726" w14:textId="77777777" w:rsidTr="000C5E34">
        <w:tc>
          <w:tcPr>
            <w:tcW w:w="9781" w:type="dxa"/>
          </w:tcPr>
          <w:p w14:paraId="27E1E84C" w14:textId="1CA00545" w:rsidR="001440F5" w:rsidRPr="00C80C94" w:rsidRDefault="001440F5" w:rsidP="006925A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scelte di delocalizzazione </w:t>
            </w:r>
            <w:r w:rsidR="006925A1">
              <w:rPr>
                <w:rFonts w:asciiTheme="minorHAnsi" w:hAnsiTheme="minorHAnsi" w:cstheme="minorHAnsi"/>
                <w:sz w:val="18"/>
              </w:rPr>
              <w:t>sono convenienti per le aziende dei Paesi occidentali ma sono dannose per i Paesi in via di sviluppo</w:t>
            </w:r>
          </w:p>
        </w:tc>
        <w:tc>
          <w:tcPr>
            <w:tcW w:w="360" w:type="dxa"/>
          </w:tcPr>
          <w:p w14:paraId="20997664" w14:textId="7D3A23A1" w:rsidR="001440F5" w:rsidRPr="00890A64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A5F9872" w14:textId="4B99B1A0" w:rsidR="001440F5" w:rsidRPr="00890A64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A05B8C" w14:paraId="6EDA88AC" w14:textId="77777777" w:rsidTr="000C5E34">
        <w:tc>
          <w:tcPr>
            <w:tcW w:w="9781" w:type="dxa"/>
          </w:tcPr>
          <w:p w14:paraId="344CB617" w14:textId="11C75287" w:rsidR="001440F5" w:rsidRPr="00A05B8C" w:rsidRDefault="006925A1" w:rsidP="006925A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percentuale di ricarico dovrebbe crescere quando crescono i costi fissi</w:t>
            </w:r>
            <w:r w:rsidR="002F7E08">
              <w:rPr>
                <w:rFonts w:asciiTheme="minorHAnsi" w:hAnsiTheme="minorHAnsi" w:cstheme="minorHAnsi"/>
                <w:sz w:val="18"/>
              </w:rPr>
              <w:t>, a parità di altre variabili</w:t>
            </w:r>
            <w:r w:rsidR="001440F5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0" w:type="dxa"/>
          </w:tcPr>
          <w:p w14:paraId="7DF26D6A" w14:textId="624033FE" w:rsidR="001440F5" w:rsidRPr="00A05B8C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85C7AA9" w14:textId="3A75DB4A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C80C94" w14:paraId="7291532C" w14:textId="77777777" w:rsidTr="000C5E34">
        <w:tc>
          <w:tcPr>
            <w:tcW w:w="9781" w:type="dxa"/>
          </w:tcPr>
          <w:p w14:paraId="50BA222C" w14:textId="7C0588A6" w:rsidR="001440F5" w:rsidRPr="00C80C94" w:rsidRDefault="001440F5" w:rsidP="006925A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 sistema di governance italiano, </w:t>
            </w:r>
            <w:r w:rsidR="006925A1">
              <w:rPr>
                <w:rFonts w:asciiTheme="minorHAnsi" w:hAnsiTheme="minorHAnsi" w:cstheme="minorHAnsi"/>
                <w:sz w:val="18"/>
              </w:rPr>
              <w:t>gli organi di governo sono l’Assemblea dei Soci, la Società di Revisione (quando prevista) e il Consiglio di Sorveglianza</w:t>
            </w:r>
            <w:r>
              <w:rPr>
                <w:rFonts w:asciiTheme="minorHAnsi" w:hAnsiTheme="minorHAnsi" w:cstheme="minorHAnsi"/>
                <w:sz w:val="18"/>
              </w:rPr>
              <w:t xml:space="preserve">   </w:t>
            </w:r>
          </w:p>
        </w:tc>
        <w:tc>
          <w:tcPr>
            <w:tcW w:w="360" w:type="dxa"/>
          </w:tcPr>
          <w:p w14:paraId="0FBDDD36" w14:textId="77777777" w:rsidR="001440F5" w:rsidRPr="00C80C94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01DC1153" w14:textId="5417948D" w:rsidR="001440F5" w:rsidRPr="00C80C94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605E01" w14:paraId="2B1BEA03" w14:textId="77777777" w:rsidTr="000C5E34">
        <w:tc>
          <w:tcPr>
            <w:tcW w:w="9781" w:type="dxa"/>
          </w:tcPr>
          <w:p w14:paraId="4C30BDC4" w14:textId="102FDC74" w:rsidR="001440F5" w:rsidRPr="00605E01" w:rsidRDefault="006925A1" w:rsidP="00F87B6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 nuovi entranti in un settore possono anche avere dimensioni maggiori degli incumbent</w:t>
            </w:r>
          </w:p>
        </w:tc>
        <w:tc>
          <w:tcPr>
            <w:tcW w:w="360" w:type="dxa"/>
          </w:tcPr>
          <w:p w14:paraId="04ECDFA6" w14:textId="27AADA0A" w:rsidR="001440F5" w:rsidRPr="00605E01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0E4C95CF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C80C94" w14:paraId="6FBD0686" w14:textId="77777777" w:rsidTr="000C5E34">
        <w:tc>
          <w:tcPr>
            <w:tcW w:w="9781" w:type="dxa"/>
          </w:tcPr>
          <w:p w14:paraId="68ED3753" w14:textId="44EFB7F2" w:rsidR="001440F5" w:rsidRPr="00C80C94" w:rsidRDefault="00F419A3" w:rsidP="00F419A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 costi di transazione non sono del tutto assimilabili ai costi di agenzia</w:t>
            </w:r>
          </w:p>
        </w:tc>
        <w:tc>
          <w:tcPr>
            <w:tcW w:w="360" w:type="dxa"/>
          </w:tcPr>
          <w:p w14:paraId="6F705ADE" w14:textId="607B6BED" w:rsidR="001440F5" w:rsidRPr="00C80C94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445AF02F" w14:textId="77777777" w:rsidR="001440F5" w:rsidRPr="00C80C94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605E01" w14:paraId="5347D4AC" w14:textId="77777777" w:rsidTr="000C5E34">
        <w:tc>
          <w:tcPr>
            <w:tcW w:w="9781" w:type="dxa"/>
          </w:tcPr>
          <w:p w14:paraId="41B03F83" w14:textId="329B72CE" w:rsidR="001440F5" w:rsidRPr="00605E01" w:rsidRDefault="001440F5" w:rsidP="00F419A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Quando due imprese danno corso ad una fusione, </w:t>
            </w:r>
            <w:r w:rsidR="00F419A3">
              <w:rPr>
                <w:rFonts w:asciiTheme="minorHAnsi" w:hAnsiTheme="minorHAnsi" w:cstheme="minorHAnsi"/>
                <w:sz w:val="18"/>
              </w:rPr>
              <w:t>una delle due imprese aumenta la leva finanziaria</w:t>
            </w:r>
            <w:r w:rsidR="004E43E6">
              <w:rPr>
                <w:rFonts w:asciiTheme="minorHAnsi" w:hAnsiTheme="minorHAnsi" w:cstheme="minorHAnsi"/>
                <w:sz w:val="18"/>
              </w:rPr>
              <w:t xml:space="preserve"> e l’altra quella operativa</w:t>
            </w:r>
          </w:p>
        </w:tc>
        <w:tc>
          <w:tcPr>
            <w:tcW w:w="360" w:type="dxa"/>
          </w:tcPr>
          <w:p w14:paraId="21814FBF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78DD0CFA" w14:textId="79E84912" w:rsidR="001440F5" w:rsidRPr="00605E01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605E01" w14:paraId="0CBDD2EC" w14:textId="77777777" w:rsidTr="000C5E34">
        <w:tc>
          <w:tcPr>
            <w:tcW w:w="9781" w:type="dxa"/>
          </w:tcPr>
          <w:p w14:paraId="05B69C16" w14:textId="74A27E3A" w:rsidR="001440F5" w:rsidRPr="00605E01" w:rsidRDefault="001440F5" w:rsidP="004E43E6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Secondo la formula Dupont, </w:t>
            </w:r>
            <w:r w:rsidR="004E43E6">
              <w:rPr>
                <w:rFonts w:asciiTheme="minorHAnsi" w:hAnsiTheme="minorHAnsi" w:cstheme="minorHAnsi"/>
                <w:sz w:val="18"/>
              </w:rPr>
              <w:t>il ROE cresce al crescere dell’Attivo</w:t>
            </w:r>
          </w:p>
        </w:tc>
        <w:tc>
          <w:tcPr>
            <w:tcW w:w="360" w:type="dxa"/>
          </w:tcPr>
          <w:p w14:paraId="498EA40D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00385913" w14:textId="5F483FE8" w:rsidR="001440F5" w:rsidRPr="00605E01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A05B8C" w14:paraId="096A8192" w14:textId="77777777" w:rsidTr="000C5E34">
        <w:tc>
          <w:tcPr>
            <w:tcW w:w="9781" w:type="dxa"/>
          </w:tcPr>
          <w:p w14:paraId="695150DF" w14:textId="097DA023" w:rsidR="001440F5" w:rsidRPr="00A05B8C" w:rsidRDefault="004E43E6" w:rsidP="004E43E6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</w:t>
            </w:r>
            <w:r w:rsidR="001440F5">
              <w:rPr>
                <w:rFonts w:asciiTheme="minorHAnsi" w:hAnsiTheme="minorHAnsi" w:cstheme="minorHAnsi"/>
                <w:sz w:val="18"/>
              </w:rPr>
              <w:t xml:space="preserve"> migliore modello di corporate governance è quello </w:t>
            </w:r>
            <w:r>
              <w:rPr>
                <w:rFonts w:asciiTheme="minorHAnsi" w:hAnsiTheme="minorHAnsi" w:cstheme="minorHAnsi"/>
                <w:sz w:val="18"/>
              </w:rPr>
              <w:t>delle piccole e medie imprese</w:t>
            </w:r>
            <w:r w:rsidR="0041516A">
              <w:rPr>
                <w:rFonts w:asciiTheme="minorHAnsi" w:hAnsiTheme="minorHAnsi" w:cstheme="minorHAnsi"/>
                <w:sz w:val="18"/>
              </w:rPr>
              <w:t>: flessibile e focalizzato</w:t>
            </w:r>
          </w:p>
        </w:tc>
        <w:tc>
          <w:tcPr>
            <w:tcW w:w="360" w:type="dxa"/>
          </w:tcPr>
          <w:p w14:paraId="6F985883" w14:textId="77777777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42887E85" w14:textId="71C89799" w:rsidR="001440F5" w:rsidRPr="00A05B8C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A05B8C" w14:paraId="6EF71F5C" w14:textId="77777777" w:rsidTr="000C5E34">
        <w:tc>
          <w:tcPr>
            <w:tcW w:w="9781" w:type="dxa"/>
          </w:tcPr>
          <w:p w14:paraId="55F97BEE" w14:textId="5194A722" w:rsidR="001440F5" w:rsidRPr="00A05B8C" w:rsidRDefault="001440F5" w:rsidP="0041516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Sia un vantaggio di costo che un vantaggio di differenziazione </w:t>
            </w:r>
            <w:r w:rsidR="0041516A">
              <w:rPr>
                <w:rFonts w:asciiTheme="minorHAnsi" w:hAnsiTheme="minorHAnsi" w:cstheme="minorHAnsi"/>
                <w:sz w:val="18"/>
              </w:rPr>
              <w:t>sono potenziali fondamenti della competitività delle imprese</w:t>
            </w:r>
          </w:p>
        </w:tc>
        <w:tc>
          <w:tcPr>
            <w:tcW w:w="360" w:type="dxa"/>
          </w:tcPr>
          <w:p w14:paraId="5F1434A6" w14:textId="376CAD23" w:rsidR="001440F5" w:rsidRPr="00A05B8C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534A052" w14:textId="77777777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605E01" w14:paraId="657DF153" w14:textId="77777777" w:rsidTr="000C5E34">
        <w:tc>
          <w:tcPr>
            <w:tcW w:w="9781" w:type="dxa"/>
          </w:tcPr>
          <w:p w14:paraId="197B07C2" w14:textId="0F31A0FD" w:rsidR="001440F5" w:rsidRPr="00605E01" w:rsidRDefault="001440F5" w:rsidP="0041516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Un </w:t>
            </w:r>
            <w:r w:rsidR="0041516A">
              <w:rPr>
                <w:rFonts w:asciiTheme="minorHAnsi" w:hAnsiTheme="minorHAnsi" w:cstheme="minorHAnsi"/>
                <w:sz w:val="18"/>
              </w:rPr>
              <w:t>allungamento</w:t>
            </w:r>
            <w:r>
              <w:rPr>
                <w:rFonts w:asciiTheme="minorHAnsi" w:hAnsiTheme="minorHAnsi" w:cstheme="minorHAnsi"/>
                <w:sz w:val="18"/>
              </w:rPr>
              <w:t xml:space="preserve"> del ciclo monetario </w:t>
            </w:r>
            <w:r w:rsidR="0041516A">
              <w:rPr>
                <w:rFonts w:asciiTheme="minorHAnsi" w:hAnsiTheme="minorHAnsi" w:cstheme="minorHAnsi"/>
                <w:sz w:val="18"/>
              </w:rPr>
              <w:t>potrebbe essere accettato in quanto funzionale al miglioramento dei rapporti con clienti e fornitori</w:t>
            </w:r>
          </w:p>
        </w:tc>
        <w:tc>
          <w:tcPr>
            <w:tcW w:w="360" w:type="dxa"/>
          </w:tcPr>
          <w:p w14:paraId="1FE5505B" w14:textId="5F3AE890" w:rsidR="001440F5" w:rsidRPr="00605E01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3B487359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A05B8C" w14:paraId="411C2ED7" w14:textId="77777777" w:rsidTr="000C5E34">
        <w:tc>
          <w:tcPr>
            <w:tcW w:w="9781" w:type="dxa"/>
          </w:tcPr>
          <w:p w14:paraId="2B9FEEBF" w14:textId="24295906" w:rsidR="001440F5" w:rsidRPr="00A05B8C" w:rsidRDefault="0041516A" w:rsidP="0041516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</w:t>
            </w:r>
            <w:r w:rsidR="001440F5">
              <w:rPr>
                <w:rFonts w:asciiTheme="minorHAnsi" w:hAnsiTheme="minorHAnsi" w:cstheme="minorHAnsi"/>
                <w:sz w:val="18"/>
              </w:rPr>
              <w:t xml:space="preserve"> concentrazione del settore </w:t>
            </w:r>
            <w:r>
              <w:rPr>
                <w:rFonts w:asciiTheme="minorHAnsi" w:hAnsiTheme="minorHAnsi" w:cstheme="minorHAnsi"/>
                <w:sz w:val="18"/>
              </w:rPr>
              <w:t>è misurata dalla somma delle quote di mercato di tutte le imprese che vi operano</w:t>
            </w:r>
          </w:p>
        </w:tc>
        <w:tc>
          <w:tcPr>
            <w:tcW w:w="360" w:type="dxa"/>
          </w:tcPr>
          <w:p w14:paraId="3196D6F3" w14:textId="78F44AEB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02C0FFA6" w14:textId="71F8B5C6" w:rsidR="001440F5" w:rsidRPr="00A05B8C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C80C94" w14:paraId="1F450F0B" w14:textId="77777777" w:rsidTr="000C5E34">
        <w:tc>
          <w:tcPr>
            <w:tcW w:w="9781" w:type="dxa"/>
          </w:tcPr>
          <w:p w14:paraId="713DB609" w14:textId="4B87E37C" w:rsidR="001440F5" w:rsidRPr="00C80C94" w:rsidRDefault="0041516A" w:rsidP="0041516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Una piccola impresa</w:t>
            </w:r>
            <w:r w:rsidR="001440F5">
              <w:rPr>
                <w:rFonts w:asciiTheme="minorHAnsi" w:hAnsiTheme="minorHAnsi" w:cstheme="minorHAnsi"/>
                <w:sz w:val="18"/>
              </w:rPr>
              <w:t xml:space="preserve"> può essere più integrata verticalmente di </w:t>
            </w:r>
            <w:r>
              <w:rPr>
                <w:rFonts w:asciiTheme="minorHAnsi" w:hAnsiTheme="minorHAnsi" w:cstheme="minorHAnsi"/>
                <w:sz w:val="18"/>
              </w:rPr>
              <w:t>una grande impresa</w:t>
            </w:r>
          </w:p>
        </w:tc>
        <w:tc>
          <w:tcPr>
            <w:tcW w:w="360" w:type="dxa"/>
          </w:tcPr>
          <w:p w14:paraId="677D767F" w14:textId="6D62687C" w:rsidR="001440F5" w:rsidRPr="00C80C94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337D076" w14:textId="77777777" w:rsidR="001440F5" w:rsidRPr="00C80C94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605E01" w14:paraId="271C2217" w14:textId="77777777" w:rsidTr="000C5E34">
        <w:tc>
          <w:tcPr>
            <w:tcW w:w="9781" w:type="dxa"/>
          </w:tcPr>
          <w:p w14:paraId="2A2B5870" w14:textId="0D968A96" w:rsidR="001440F5" w:rsidRPr="00605E01" w:rsidRDefault="001440F5" w:rsidP="00CD291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 Con la crescita dimensionale, le imprese </w:t>
            </w:r>
            <w:r w:rsidR="00CD291C">
              <w:rPr>
                <w:rFonts w:asciiTheme="minorHAnsi" w:hAnsiTheme="minorHAnsi" w:cstheme="minorHAnsi"/>
                <w:sz w:val="18"/>
              </w:rPr>
              <w:t>possono ridurre il ruolo dell’imprenditore a favore dei manager</w:t>
            </w:r>
          </w:p>
        </w:tc>
        <w:tc>
          <w:tcPr>
            <w:tcW w:w="360" w:type="dxa"/>
          </w:tcPr>
          <w:p w14:paraId="5BEC797B" w14:textId="734F4B1D" w:rsidR="001440F5" w:rsidRPr="00605E01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19FD57C0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A05B8C" w14:paraId="38E58B0E" w14:textId="77777777" w:rsidTr="000C5E34">
        <w:tc>
          <w:tcPr>
            <w:tcW w:w="9781" w:type="dxa"/>
          </w:tcPr>
          <w:p w14:paraId="7D548ED0" w14:textId="4D220BE4" w:rsidR="001440F5" w:rsidRPr="00A05B8C" w:rsidRDefault="001440F5" w:rsidP="00CD291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 Esistono </w:t>
            </w:r>
            <w:r w:rsidR="00CD291C">
              <w:rPr>
                <w:rFonts w:asciiTheme="minorHAnsi" w:hAnsiTheme="minorHAnsi" w:cstheme="minorHAnsi"/>
                <w:sz w:val="18"/>
              </w:rPr>
              <w:t>diversi distretti industriali italiani specializzati nella produzione di mobili per la casa</w:t>
            </w:r>
          </w:p>
        </w:tc>
        <w:tc>
          <w:tcPr>
            <w:tcW w:w="360" w:type="dxa"/>
          </w:tcPr>
          <w:p w14:paraId="2FF7C630" w14:textId="4401914B" w:rsidR="001440F5" w:rsidRPr="00A05B8C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4F7AE665" w14:textId="51FD0829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C80C94" w14:paraId="71DD034F" w14:textId="77777777" w:rsidTr="000C5E34">
        <w:tc>
          <w:tcPr>
            <w:tcW w:w="9781" w:type="dxa"/>
          </w:tcPr>
          <w:p w14:paraId="5914742C" w14:textId="3528AF01" w:rsidR="001440F5" w:rsidRPr="00C80C94" w:rsidRDefault="001440F5" w:rsidP="00CD291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 I percorsi di internazionalizzazione delle piccole imprese italiane </w:t>
            </w:r>
            <w:r w:rsidR="00CD291C">
              <w:rPr>
                <w:rFonts w:asciiTheme="minorHAnsi" w:hAnsiTheme="minorHAnsi" w:cstheme="minorHAnsi"/>
                <w:sz w:val="18"/>
              </w:rPr>
              <w:t xml:space="preserve">sono </w:t>
            </w:r>
            <w:r w:rsidR="00060839">
              <w:rPr>
                <w:rFonts w:asciiTheme="minorHAnsi" w:hAnsiTheme="minorHAnsi" w:cstheme="minorHAnsi"/>
                <w:sz w:val="18"/>
              </w:rPr>
              <w:t>simili a quelli delle grandi imprese</w:t>
            </w:r>
          </w:p>
        </w:tc>
        <w:tc>
          <w:tcPr>
            <w:tcW w:w="360" w:type="dxa"/>
          </w:tcPr>
          <w:p w14:paraId="00B99EE5" w14:textId="77777777" w:rsidR="001440F5" w:rsidRPr="00C80C94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6C1161AC" w14:textId="0B2FCA88" w:rsidR="001440F5" w:rsidRPr="00C80C94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A05B8C" w14:paraId="194A95CF" w14:textId="77777777" w:rsidTr="000C5E34">
        <w:tc>
          <w:tcPr>
            <w:tcW w:w="9781" w:type="dxa"/>
          </w:tcPr>
          <w:p w14:paraId="46D4F4CB" w14:textId="34C8C245" w:rsidR="001440F5" w:rsidRPr="00A05B8C" w:rsidRDefault="001440F5" w:rsidP="0006083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 </w:t>
            </w:r>
            <w:r w:rsidR="00060839">
              <w:rPr>
                <w:rFonts w:asciiTheme="minorHAnsi" w:hAnsiTheme="minorHAnsi" w:cstheme="minorHAnsi"/>
                <w:sz w:val="18"/>
              </w:rPr>
              <w:t>Le imprese quotate in Borsa che hanno sede a Trieste sono quattro: Generali, Fincantieri, TBS e Autorità Portuale</w:t>
            </w:r>
          </w:p>
        </w:tc>
        <w:tc>
          <w:tcPr>
            <w:tcW w:w="360" w:type="dxa"/>
          </w:tcPr>
          <w:p w14:paraId="72BFFCC4" w14:textId="6CBAA4E9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4A50D00E" w14:textId="4379868B" w:rsidR="001440F5" w:rsidRPr="00A05B8C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A05B8C" w14:paraId="534A8E2C" w14:textId="77777777" w:rsidTr="000C5E34">
        <w:tc>
          <w:tcPr>
            <w:tcW w:w="9781" w:type="dxa"/>
          </w:tcPr>
          <w:p w14:paraId="5D61EF2E" w14:textId="6BBAA458" w:rsidR="001440F5" w:rsidRPr="00A05B8C" w:rsidRDefault="001440F5" w:rsidP="0006083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 </w:t>
            </w:r>
            <w:r w:rsidR="00060839">
              <w:rPr>
                <w:rFonts w:asciiTheme="minorHAnsi" w:hAnsiTheme="minorHAnsi" w:cstheme="minorHAnsi"/>
                <w:sz w:val="18"/>
              </w:rPr>
              <w:t>Un sistema locale di</w:t>
            </w:r>
            <w:r>
              <w:rPr>
                <w:rFonts w:asciiTheme="minorHAnsi" w:hAnsiTheme="minorHAnsi" w:cstheme="minorHAnsi"/>
                <w:sz w:val="18"/>
              </w:rPr>
              <w:t xml:space="preserve"> innovazione </w:t>
            </w:r>
            <w:r w:rsidR="00060839">
              <w:rPr>
                <w:rFonts w:asciiTheme="minorHAnsi" w:hAnsiTheme="minorHAnsi" w:cstheme="minorHAnsi"/>
                <w:sz w:val="18"/>
              </w:rPr>
              <w:t xml:space="preserve">dovrebbe comprendere, tra l’altro, enti di ricerca, università, aziende innovative, </w:t>
            </w:r>
            <w:r>
              <w:rPr>
                <w:rFonts w:asciiTheme="minorHAnsi" w:hAnsiTheme="minorHAnsi" w:cstheme="minorHAnsi"/>
                <w:sz w:val="18"/>
              </w:rPr>
              <w:t xml:space="preserve">parchi scientifici e incubatori d’impresa </w:t>
            </w:r>
          </w:p>
        </w:tc>
        <w:tc>
          <w:tcPr>
            <w:tcW w:w="360" w:type="dxa"/>
          </w:tcPr>
          <w:p w14:paraId="11218E68" w14:textId="282B52BF" w:rsidR="001440F5" w:rsidRPr="00A05B8C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4F60E553" w14:textId="77777777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A05B8C" w14:paraId="67392866" w14:textId="77777777" w:rsidTr="000C5E34">
        <w:tc>
          <w:tcPr>
            <w:tcW w:w="9781" w:type="dxa"/>
          </w:tcPr>
          <w:p w14:paraId="6E3D12D6" w14:textId="03ADF7F3" w:rsidR="001440F5" w:rsidRPr="00A05B8C" w:rsidRDefault="00060839" w:rsidP="00295B1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 </w:t>
            </w:r>
            <w:r w:rsidR="00295B18">
              <w:rPr>
                <w:rFonts w:asciiTheme="minorHAnsi" w:hAnsiTheme="minorHAnsi" w:cstheme="minorHAnsi"/>
                <w:sz w:val="18"/>
              </w:rPr>
              <w:t>Loccioni è un’impresa che ha un approccio di innovazione aperta</w:t>
            </w:r>
          </w:p>
        </w:tc>
        <w:tc>
          <w:tcPr>
            <w:tcW w:w="360" w:type="dxa"/>
          </w:tcPr>
          <w:p w14:paraId="38088850" w14:textId="21123178" w:rsidR="001440F5" w:rsidRPr="00A05B8C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3A62468B" w14:textId="77777777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A05B8C" w14:paraId="51427D51" w14:textId="77777777" w:rsidTr="000C5E34">
        <w:tc>
          <w:tcPr>
            <w:tcW w:w="9781" w:type="dxa"/>
          </w:tcPr>
          <w:p w14:paraId="16CFAC18" w14:textId="7AB59118" w:rsidR="001440F5" w:rsidRPr="00A05B8C" w:rsidRDefault="001440F5" w:rsidP="00295B1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 L’innovazione di </w:t>
            </w:r>
            <w:r w:rsidR="00295B18">
              <w:rPr>
                <w:rFonts w:asciiTheme="minorHAnsi" w:hAnsiTheme="minorHAnsi" w:cstheme="minorHAnsi"/>
                <w:sz w:val="18"/>
              </w:rPr>
              <w:t>processo produttivo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295B18">
              <w:rPr>
                <w:rFonts w:asciiTheme="minorHAnsi" w:hAnsiTheme="minorHAnsi" w:cstheme="minorHAnsi"/>
                <w:sz w:val="18"/>
              </w:rPr>
              <w:t>dovrebbe logicamente precedere l’innovazione di prodotto</w:t>
            </w:r>
          </w:p>
        </w:tc>
        <w:tc>
          <w:tcPr>
            <w:tcW w:w="360" w:type="dxa"/>
          </w:tcPr>
          <w:p w14:paraId="3809E2CB" w14:textId="77777777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6E4E69EC" w14:textId="52009864" w:rsidR="001440F5" w:rsidRPr="00A05B8C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605E01" w14:paraId="1F366BB4" w14:textId="77777777" w:rsidTr="000C5E34">
        <w:tc>
          <w:tcPr>
            <w:tcW w:w="9781" w:type="dxa"/>
          </w:tcPr>
          <w:p w14:paraId="7ECE6C8E" w14:textId="244B1238" w:rsidR="001440F5" w:rsidRPr="00605E01" w:rsidRDefault="001440F5" w:rsidP="00295B1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 La crescita per linee esterne è </w:t>
            </w:r>
            <w:r w:rsidR="00295B18">
              <w:rPr>
                <w:rFonts w:asciiTheme="minorHAnsi" w:hAnsiTheme="minorHAnsi" w:cstheme="minorHAnsi"/>
                <w:sz w:val="18"/>
              </w:rPr>
              <w:t>meno rischiosa di una crescita per linee interne</w:t>
            </w:r>
          </w:p>
        </w:tc>
        <w:tc>
          <w:tcPr>
            <w:tcW w:w="360" w:type="dxa"/>
          </w:tcPr>
          <w:p w14:paraId="50278583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1739CB3C" w14:textId="7BE31F53" w:rsidR="001440F5" w:rsidRPr="00605E01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A05B8C" w14:paraId="2A5ED057" w14:textId="77777777" w:rsidTr="000C5E34">
        <w:tc>
          <w:tcPr>
            <w:tcW w:w="9781" w:type="dxa"/>
          </w:tcPr>
          <w:p w14:paraId="05CEA6FF" w14:textId="223A4F11" w:rsidR="001440F5" w:rsidRPr="00A05B8C" w:rsidRDefault="001440F5" w:rsidP="00295B1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 </w:t>
            </w:r>
            <w:r w:rsidR="00295B18">
              <w:rPr>
                <w:rFonts w:asciiTheme="minorHAnsi" w:hAnsiTheme="minorHAnsi" w:cstheme="minorHAnsi"/>
                <w:sz w:val="18"/>
              </w:rPr>
              <w:t>Tutte le imprese della Silicon Valley adottano strategie di Innovazione Aperta</w:t>
            </w:r>
          </w:p>
        </w:tc>
        <w:tc>
          <w:tcPr>
            <w:tcW w:w="360" w:type="dxa"/>
          </w:tcPr>
          <w:p w14:paraId="63E92681" w14:textId="6C534F74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0277009A" w14:textId="53359BAD" w:rsidR="001440F5" w:rsidRPr="00A05B8C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A05B8C" w14:paraId="70A6AB36" w14:textId="77777777" w:rsidTr="000C5E34">
        <w:tc>
          <w:tcPr>
            <w:tcW w:w="9781" w:type="dxa"/>
          </w:tcPr>
          <w:p w14:paraId="126B5C86" w14:textId="7C735E6B" w:rsidR="001440F5" w:rsidRPr="00A05B8C" w:rsidRDefault="001440F5" w:rsidP="00295B1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 Le </w:t>
            </w:r>
            <w:r w:rsidR="00295B18">
              <w:rPr>
                <w:rFonts w:asciiTheme="minorHAnsi" w:hAnsiTheme="minorHAnsi" w:cstheme="minorHAnsi"/>
                <w:sz w:val="18"/>
              </w:rPr>
              <w:t>acquisizioni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295B18">
              <w:rPr>
                <w:rFonts w:asciiTheme="minorHAnsi" w:hAnsiTheme="minorHAnsi" w:cstheme="minorHAnsi"/>
                <w:sz w:val="18"/>
              </w:rPr>
              <w:t>sono preferibili alle joint venture di tipo non-equity, se l’esigenza è quella di esercitare un potere di controllo sul partner</w:t>
            </w:r>
          </w:p>
        </w:tc>
        <w:tc>
          <w:tcPr>
            <w:tcW w:w="360" w:type="dxa"/>
          </w:tcPr>
          <w:p w14:paraId="3BC92CAA" w14:textId="4AA224AC" w:rsidR="001440F5" w:rsidRPr="00A05B8C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FC34123" w14:textId="531BF4F9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A05B8C" w14:paraId="618690B4" w14:textId="77777777" w:rsidTr="000C5E34">
        <w:tc>
          <w:tcPr>
            <w:tcW w:w="9781" w:type="dxa"/>
          </w:tcPr>
          <w:p w14:paraId="45032C1B" w14:textId="682A2D23" w:rsidR="001440F5" w:rsidRPr="00A05B8C" w:rsidRDefault="00295B18" w:rsidP="00295B1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 </w:t>
            </w:r>
            <w:r w:rsidR="006473F5">
              <w:rPr>
                <w:rFonts w:asciiTheme="minorHAnsi" w:hAnsiTheme="minorHAnsi" w:cstheme="minorHAnsi"/>
                <w:sz w:val="18"/>
              </w:rPr>
              <w:t>Di</w:t>
            </w:r>
            <w:r>
              <w:rPr>
                <w:rFonts w:asciiTheme="minorHAnsi" w:hAnsiTheme="minorHAnsi" w:cstheme="minorHAnsi"/>
                <w:sz w:val="18"/>
              </w:rPr>
              <w:t>verse i</w:t>
            </w:r>
            <w:r w:rsidR="001440F5">
              <w:rPr>
                <w:rFonts w:asciiTheme="minorHAnsi" w:hAnsiTheme="minorHAnsi" w:cstheme="minorHAnsi"/>
                <w:sz w:val="18"/>
              </w:rPr>
              <w:t xml:space="preserve">mprese esportatrici italiane </w:t>
            </w:r>
            <w:r>
              <w:rPr>
                <w:rFonts w:asciiTheme="minorHAnsi" w:hAnsiTheme="minorHAnsi" w:cstheme="minorHAnsi"/>
                <w:sz w:val="18"/>
              </w:rPr>
              <w:t>sono leader nei settori della meccanica</w:t>
            </w:r>
          </w:p>
        </w:tc>
        <w:tc>
          <w:tcPr>
            <w:tcW w:w="360" w:type="dxa"/>
          </w:tcPr>
          <w:p w14:paraId="25BFDA75" w14:textId="4965B8BE" w:rsidR="001440F5" w:rsidRPr="00A05B8C" w:rsidRDefault="00AD396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  <w:bookmarkStart w:id="0" w:name="_GoBack"/>
            <w:bookmarkEnd w:id="0"/>
          </w:p>
        </w:tc>
        <w:tc>
          <w:tcPr>
            <w:tcW w:w="345" w:type="dxa"/>
          </w:tcPr>
          <w:p w14:paraId="4C2C7B64" w14:textId="77777777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E57F683" w14:textId="77777777" w:rsidR="00FB1321" w:rsidRPr="00605E01" w:rsidRDefault="00FB1321" w:rsidP="008010C4">
      <w:pPr>
        <w:rPr>
          <w:rFonts w:asciiTheme="minorHAnsi" w:hAnsiTheme="minorHAnsi" w:cstheme="minorHAnsi"/>
        </w:rPr>
      </w:pPr>
    </w:p>
    <w:sectPr w:rsidR="00FB1321" w:rsidRPr="00605E01" w:rsidSect="000C5E34">
      <w:headerReference w:type="default" r:id="rId8"/>
      <w:footerReference w:type="default" r:id="rId9"/>
      <w:pgSz w:w="11905" w:h="16837"/>
      <w:pgMar w:top="1440" w:right="1080" w:bottom="1440" w:left="1080" w:header="709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BDC90" w14:textId="77777777" w:rsidR="00EB2A2C" w:rsidRDefault="00EB2A2C">
      <w:r>
        <w:separator/>
      </w:r>
    </w:p>
  </w:endnote>
  <w:endnote w:type="continuationSeparator" w:id="0">
    <w:p w14:paraId="4C30C39A" w14:textId="77777777" w:rsidR="00EB2A2C" w:rsidRDefault="00EB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80F6B" w14:textId="77777777" w:rsidR="005410CF" w:rsidRPr="00D61ACD" w:rsidRDefault="005410CF" w:rsidP="00B816BD">
    <w:pPr>
      <w:pStyle w:val="Pidipagina"/>
      <w:ind w:left="-127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7FBA3" w14:textId="77777777" w:rsidR="00EB2A2C" w:rsidRDefault="00EB2A2C">
      <w:r>
        <w:separator/>
      </w:r>
    </w:p>
  </w:footnote>
  <w:footnote w:type="continuationSeparator" w:id="0">
    <w:p w14:paraId="238658AF" w14:textId="77777777" w:rsidR="00EB2A2C" w:rsidRDefault="00EB2A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24817" w14:textId="77777777" w:rsidR="005410CF" w:rsidRDefault="005410CF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697B9D42" wp14:editId="464CD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49889" w14:textId="77777777" w:rsidR="005410CF" w:rsidRDefault="005410CF" w:rsidP="00FB1321">
    <w:pPr>
      <w:pStyle w:val="Intestazione"/>
      <w:tabs>
        <w:tab w:val="clear" w:pos="4819"/>
        <w:tab w:val="center" w:pos="7655"/>
      </w:tabs>
      <w:ind w:left="1134"/>
      <w:rPr>
        <w:rFonts w:ascii="Helvetica" w:hAnsi="Helvetica"/>
        <w:b/>
        <w:sz w:val="18"/>
        <w:szCs w:val="18"/>
      </w:rPr>
    </w:pPr>
  </w:p>
  <w:p w14:paraId="12FC951E" w14:textId="77777777" w:rsidR="005410CF" w:rsidRPr="009E108E" w:rsidRDefault="005410CF" w:rsidP="00244B1F">
    <w:pPr>
      <w:pStyle w:val="Intestazione"/>
      <w:tabs>
        <w:tab w:val="clear" w:pos="4819"/>
        <w:tab w:val="center" w:pos="7655"/>
      </w:tabs>
      <w:ind w:left="851"/>
      <w:rPr>
        <w:rFonts w:ascii="Arial" w:hAnsi="Arial" w:cs="Arial"/>
        <w:b/>
        <w:sz w:val="18"/>
        <w:szCs w:val="18"/>
      </w:rPr>
    </w:pPr>
    <w:r w:rsidRPr="009E108E">
      <w:rPr>
        <w:rFonts w:ascii="Arial" w:hAnsi="Arial" w:cs="Arial"/>
        <w:b/>
        <w:sz w:val="18"/>
        <w:szCs w:val="18"/>
      </w:rPr>
      <w:t>DEAMS</w:t>
    </w:r>
    <w:r w:rsidRPr="009E108E">
      <w:rPr>
        <w:rFonts w:ascii="Arial" w:hAnsi="Arial" w:cs="Arial"/>
        <w:b/>
        <w:sz w:val="18"/>
        <w:szCs w:val="18"/>
      </w:rPr>
      <w:tab/>
    </w:r>
  </w:p>
  <w:p w14:paraId="7EF14F1A" w14:textId="77777777" w:rsidR="005410CF" w:rsidRPr="009E108E" w:rsidRDefault="005410CF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 xml:space="preserve">Dipartimento di Scienze Economiche, Aziendali, </w:t>
    </w:r>
  </w:p>
  <w:p w14:paraId="0A7482EC" w14:textId="77777777" w:rsidR="005410CF" w:rsidRPr="009E108E" w:rsidRDefault="005410CF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Matematiche e Statistiche</w:t>
    </w:r>
  </w:p>
  <w:p w14:paraId="32CF4F8F" w14:textId="77777777" w:rsidR="005410CF" w:rsidRPr="009E108E" w:rsidRDefault="005410CF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“Bruno de Finetti”</w:t>
    </w:r>
  </w:p>
  <w:p w14:paraId="562BE0C9" w14:textId="77777777" w:rsidR="005410CF" w:rsidRDefault="005410CF">
    <w:pPr>
      <w:pStyle w:val="Intestazione"/>
      <w:ind w:left="1701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233B6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44"/>
    <w:rsid w:val="00001240"/>
    <w:rsid w:val="00001A30"/>
    <w:rsid w:val="00004013"/>
    <w:rsid w:val="00006D42"/>
    <w:rsid w:val="00010D86"/>
    <w:rsid w:val="000120CF"/>
    <w:rsid w:val="000173A8"/>
    <w:rsid w:val="00021A68"/>
    <w:rsid w:val="0002497B"/>
    <w:rsid w:val="00024B87"/>
    <w:rsid w:val="000323BA"/>
    <w:rsid w:val="000353FD"/>
    <w:rsid w:val="00036368"/>
    <w:rsid w:val="000369A2"/>
    <w:rsid w:val="00041E53"/>
    <w:rsid w:val="00042507"/>
    <w:rsid w:val="0004340D"/>
    <w:rsid w:val="00046CA4"/>
    <w:rsid w:val="00053091"/>
    <w:rsid w:val="000554E5"/>
    <w:rsid w:val="00055F05"/>
    <w:rsid w:val="00060839"/>
    <w:rsid w:val="000615D9"/>
    <w:rsid w:val="00064685"/>
    <w:rsid w:val="00067A44"/>
    <w:rsid w:val="000719D3"/>
    <w:rsid w:val="00071FA1"/>
    <w:rsid w:val="0007231B"/>
    <w:rsid w:val="00075F0B"/>
    <w:rsid w:val="00083757"/>
    <w:rsid w:val="00083C3F"/>
    <w:rsid w:val="00083DE1"/>
    <w:rsid w:val="000902E2"/>
    <w:rsid w:val="000931CF"/>
    <w:rsid w:val="00093471"/>
    <w:rsid w:val="00094553"/>
    <w:rsid w:val="00096182"/>
    <w:rsid w:val="00096A96"/>
    <w:rsid w:val="000A4BE0"/>
    <w:rsid w:val="000A5ADE"/>
    <w:rsid w:val="000B244A"/>
    <w:rsid w:val="000B358D"/>
    <w:rsid w:val="000B511D"/>
    <w:rsid w:val="000C1B61"/>
    <w:rsid w:val="000C2B38"/>
    <w:rsid w:val="000C2F89"/>
    <w:rsid w:val="000C2FB8"/>
    <w:rsid w:val="000C4DF9"/>
    <w:rsid w:val="000C5E34"/>
    <w:rsid w:val="000D1913"/>
    <w:rsid w:val="000D5E0F"/>
    <w:rsid w:val="000E1D4A"/>
    <w:rsid w:val="000E2BA6"/>
    <w:rsid w:val="000E3438"/>
    <w:rsid w:val="000E3DE7"/>
    <w:rsid w:val="000E722F"/>
    <w:rsid w:val="000E7E32"/>
    <w:rsid w:val="000F14E2"/>
    <w:rsid w:val="000F7EAE"/>
    <w:rsid w:val="00100106"/>
    <w:rsid w:val="0010020D"/>
    <w:rsid w:val="001018CC"/>
    <w:rsid w:val="001029F5"/>
    <w:rsid w:val="00102B94"/>
    <w:rsid w:val="001046C6"/>
    <w:rsid w:val="0011352F"/>
    <w:rsid w:val="00113837"/>
    <w:rsid w:val="001164A2"/>
    <w:rsid w:val="001174E0"/>
    <w:rsid w:val="00122D29"/>
    <w:rsid w:val="0012409E"/>
    <w:rsid w:val="001254FC"/>
    <w:rsid w:val="00133667"/>
    <w:rsid w:val="00135C70"/>
    <w:rsid w:val="00137CF3"/>
    <w:rsid w:val="0014273A"/>
    <w:rsid w:val="001440F5"/>
    <w:rsid w:val="0015211C"/>
    <w:rsid w:val="001523AE"/>
    <w:rsid w:val="00153A0F"/>
    <w:rsid w:val="00163647"/>
    <w:rsid w:val="00167D50"/>
    <w:rsid w:val="001721E5"/>
    <w:rsid w:val="00173316"/>
    <w:rsid w:val="0017599A"/>
    <w:rsid w:val="00176693"/>
    <w:rsid w:val="00176E0F"/>
    <w:rsid w:val="001800DC"/>
    <w:rsid w:val="00185A9C"/>
    <w:rsid w:val="001920DB"/>
    <w:rsid w:val="00197C68"/>
    <w:rsid w:val="001A02E7"/>
    <w:rsid w:val="001A27B0"/>
    <w:rsid w:val="001A2D68"/>
    <w:rsid w:val="001A623E"/>
    <w:rsid w:val="001A71FC"/>
    <w:rsid w:val="001B66ED"/>
    <w:rsid w:val="001C6B15"/>
    <w:rsid w:val="001D19D2"/>
    <w:rsid w:val="001D442C"/>
    <w:rsid w:val="001E3157"/>
    <w:rsid w:val="001E4BE5"/>
    <w:rsid w:val="001E759A"/>
    <w:rsid w:val="001F5371"/>
    <w:rsid w:val="001F796D"/>
    <w:rsid w:val="002022AC"/>
    <w:rsid w:val="00202EAC"/>
    <w:rsid w:val="002030C7"/>
    <w:rsid w:val="00204734"/>
    <w:rsid w:val="00204743"/>
    <w:rsid w:val="00205B90"/>
    <w:rsid w:val="00217734"/>
    <w:rsid w:val="00217905"/>
    <w:rsid w:val="00220DA0"/>
    <w:rsid w:val="00221224"/>
    <w:rsid w:val="00221617"/>
    <w:rsid w:val="0022501E"/>
    <w:rsid w:val="002275F4"/>
    <w:rsid w:val="00227A25"/>
    <w:rsid w:val="00232A54"/>
    <w:rsid w:val="0023414A"/>
    <w:rsid w:val="00234697"/>
    <w:rsid w:val="00236224"/>
    <w:rsid w:val="00241DAB"/>
    <w:rsid w:val="00244B1F"/>
    <w:rsid w:val="00245B7E"/>
    <w:rsid w:val="00247B3E"/>
    <w:rsid w:val="002527F9"/>
    <w:rsid w:val="002533E8"/>
    <w:rsid w:val="00253D11"/>
    <w:rsid w:val="00255DA2"/>
    <w:rsid w:val="002622CE"/>
    <w:rsid w:val="0026387E"/>
    <w:rsid w:val="00264C51"/>
    <w:rsid w:val="00265CE9"/>
    <w:rsid w:val="002663B9"/>
    <w:rsid w:val="00272228"/>
    <w:rsid w:val="0027232D"/>
    <w:rsid w:val="002765C8"/>
    <w:rsid w:val="00276967"/>
    <w:rsid w:val="00277D34"/>
    <w:rsid w:val="00283F6B"/>
    <w:rsid w:val="0028640F"/>
    <w:rsid w:val="00287A0C"/>
    <w:rsid w:val="00291EB6"/>
    <w:rsid w:val="00291F98"/>
    <w:rsid w:val="00292435"/>
    <w:rsid w:val="00295B18"/>
    <w:rsid w:val="00296CCB"/>
    <w:rsid w:val="002A0653"/>
    <w:rsid w:val="002A24CB"/>
    <w:rsid w:val="002A4366"/>
    <w:rsid w:val="002A789A"/>
    <w:rsid w:val="002B22DC"/>
    <w:rsid w:val="002B2B25"/>
    <w:rsid w:val="002C32BE"/>
    <w:rsid w:val="002C51DE"/>
    <w:rsid w:val="002C5E69"/>
    <w:rsid w:val="002C6568"/>
    <w:rsid w:val="002E29AF"/>
    <w:rsid w:val="002E3CF1"/>
    <w:rsid w:val="002E5B34"/>
    <w:rsid w:val="002F15EF"/>
    <w:rsid w:val="002F4AB7"/>
    <w:rsid w:val="002F58C2"/>
    <w:rsid w:val="002F7E08"/>
    <w:rsid w:val="003006A8"/>
    <w:rsid w:val="00300A98"/>
    <w:rsid w:val="0030167E"/>
    <w:rsid w:val="00305E5F"/>
    <w:rsid w:val="00307FB8"/>
    <w:rsid w:val="00311AB8"/>
    <w:rsid w:val="00311FD5"/>
    <w:rsid w:val="00315162"/>
    <w:rsid w:val="003163CB"/>
    <w:rsid w:val="00317046"/>
    <w:rsid w:val="00317A17"/>
    <w:rsid w:val="00320E9F"/>
    <w:rsid w:val="00322009"/>
    <w:rsid w:val="00323162"/>
    <w:rsid w:val="00326434"/>
    <w:rsid w:val="003274CC"/>
    <w:rsid w:val="003322DA"/>
    <w:rsid w:val="003349B5"/>
    <w:rsid w:val="00336584"/>
    <w:rsid w:val="003447E7"/>
    <w:rsid w:val="00344F79"/>
    <w:rsid w:val="00345EDC"/>
    <w:rsid w:val="0035104A"/>
    <w:rsid w:val="0035581E"/>
    <w:rsid w:val="003649C5"/>
    <w:rsid w:val="0036772F"/>
    <w:rsid w:val="00370A54"/>
    <w:rsid w:val="00370DCC"/>
    <w:rsid w:val="00373C35"/>
    <w:rsid w:val="003822DC"/>
    <w:rsid w:val="00383C4B"/>
    <w:rsid w:val="00384C8A"/>
    <w:rsid w:val="00386B6B"/>
    <w:rsid w:val="00390BDC"/>
    <w:rsid w:val="00391579"/>
    <w:rsid w:val="00393732"/>
    <w:rsid w:val="003A0E9D"/>
    <w:rsid w:val="003A52DF"/>
    <w:rsid w:val="003A7F9F"/>
    <w:rsid w:val="003B0BE4"/>
    <w:rsid w:val="003B0E97"/>
    <w:rsid w:val="003B6CD7"/>
    <w:rsid w:val="003B7EE5"/>
    <w:rsid w:val="003D23E1"/>
    <w:rsid w:val="003E02BD"/>
    <w:rsid w:val="003F3EF5"/>
    <w:rsid w:val="003F5699"/>
    <w:rsid w:val="004016DF"/>
    <w:rsid w:val="00403C7C"/>
    <w:rsid w:val="00406B1B"/>
    <w:rsid w:val="00412277"/>
    <w:rsid w:val="0041516A"/>
    <w:rsid w:val="0042110B"/>
    <w:rsid w:val="00422363"/>
    <w:rsid w:val="004314C4"/>
    <w:rsid w:val="0043288B"/>
    <w:rsid w:val="00436BA5"/>
    <w:rsid w:val="00437832"/>
    <w:rsid w:val="0044079D"/>
    <w:rsid w:val="00442D34"/>
    <w:rsid w:val="00443FE9"/>
    <w:rsid w:val="004444CD"/>
    <w:rsid w:val="0044597B"/>
    <w:rsid w:val="00446778"/>
    <w:rsid w:val="004477AC"/>
    <w:rsid w:val="00451C95"/>
    <w:rsid w:val="0045253C"/>
    <w:rsid w:val="004538FD"/>
    <w:rsid w:val="004567BB"/>
    <w:rsid w:val="004576DB"/>
    <w:rsid w:val="00464970"/>
    <w:rsid w:val="0046752C"/>
    <w:rsid w:val="00473793"/>
    <w:rsid w:val="004752BF"/>
    <w:rsid w:val="004821CB"/>
    <w:rsid w:val="0048220A"/>
    <w:rsid w:val="004877E0"/>
    <w:rsid w:val="00492B07"/>
    <w:rsid w:val="004932E2"/>
    <w:rsid w:val="00494772"/>
    <w:rsid w:val="004A7FE7"/>
    <w:rsid w:val="004B2BF5"/>
    <w:rsid w:val="004B6F9F"/>
    <w:rsid w:val="004B76A9"/>
    <w:rsid w:val="004B7CC8"/>
    <w:rsid w:val="004C5CB4"/>
    <w:rsid w:val="004C673C"/>
    <w:rsid w:val="004C7E52"/>
    <w:rsid w:val="004D2025"/>
    <w:rsid w:val="004D73C5"/>
    <w:rsid w:val="004D7B74"/>
    <w:rsid w:val="004E43E6"/>
    <w:rsid w:val="004E6115"/>
    <w:rsid w:val="004E64E0"/>
    <w:rsid w:val="004E7CA0"/>
    <w:rsid w:val="004F0B06"/>
    <w:rsid w:val="005002D3"/>
    <w:rsid w:val="005015C5"/>
    <w:rsid w:val="00501C7F"/>
    <w:rsid w:val="00510780"/>
    <w:rsid w:val="00514888"/>
    <w:rsid w:val="00520051"/>
    <w:rsid w:val="0052090A"/>
    <w:rsid w:val="0052636C"/>
    <w:rsid w:val="005273D6"/>
    <w:rsid w:val="00530F25"/>
    <w:rsid w:val="0053370E"/>
    <w:rsid w:val="0053380D"/>
    <w:rsid w:val="00534F75"/>
    <w:rsid w:val="00536EC3"/>
    <w:rsid w:val="005410CF"/>
    <w:rsid w:val="00541AAF"/>
    <w:rsid w:val="00543B1B"/>
    <w:rsid w:val="00571EFF"/>
    <w:rsid w:val="00573AD5"/>
    <w:rsid w:val="00585988"/>
    <w:rsid w:val="00596257"/>
    <w:rsid w:val="005970D4"/>
    <w:rsid w:val="005A056B"/>
    <w:rsid w:val="005A1AA0"/>
    <w:rsid w:val="005B076D"/>
    <w:rsid w:val="005B143D"/>
    <w:rsid w:val="005B21E8"/>
    <w:rsid w:val="005B5037"/>
    <w:rsid w:val="005C0931"/>
    <w:rsid w:val="005C6DF1"/>
    <w:rsid w:val="005D16CA"/>
    <w:rsid w:val="005D38CF"/>
    <w:rsid w:val="005D6B18"/>
    <w:rsid w:val="005E2B66"/>
    <w:rsid w:val="005E4805"/>
    <w:rsid w:val="005E4927"/>
    <w:rsid w:val="005E4D76"/>
    <w:rsid w:val="005F099E"/>
    <w:rsid w:val="005F212D"/>
    <w:rsid w:val="005F55F6"/>
    <w:rsid w:val="005F5A74"/>
    <w:rsid w:val="005F78AA"/>
    <w:rsid w:val="006011CA"/>
    <w:rsid w:val="0060168A"/>
    <w:rsid w:val="00602037"/>
    <w:rsid w:val="00605E01"/>
    <w:rsid w:val="0061493B"/>
    <w:rsid w:val="006154D4"/>
    <w:rsid w:val="00616273"/>
    <w:rsid w:val="00625F26"/>
    <w:rsid w:val="00626FCC"/>
    <w:rsid w:val="006275A2"/>
    <w:rsid w:val="00630B87"/>
    <w:rsid w:val="00634314"/>
    <w:rsid w:val="0063441A"/>
    <w:rsid w:val="00641911"/>
    <w:rsid w:val="00641A71"/>
    <w:rsid w:val="006422DC"/>
    <w:rsid w:val="00642C44"/>
    <w:rsid w:val="0064302D"/>
    <w:rsid w:val="0064478C"/>
    <w:rsid w:val="00645480"/>
    <w:rsid w:val="006473F5"/>
    <w:rsid w:val="00650DEF"/>
    <w:rsid w:val="00652D0A"/>
    <w:rsid w:val="0065657E"/>
    <w:rsid w:val="00657242"/>
    <w:rsid w:val="006607C4"/>
    <w:rsid w:val="00660F11"/>
    <w:rsid w:val="00662DDA"/>
    <w:rsid w:val="0066488F"/>
    <w:rsid w:val="00667DD5"/>
    <w:rsid w:val="006716E4"/>
    <w:rsid w:val="00672847"/>
    <w:rsid w:val="00672D02"/>
    <w:rsid w:val="00673210"/>
    <w:rsid w:val="00674C1C"/>
    <w:rsid w:val="00675910"/>
    <w:rsid w:val="00676AEC"/>
    <w:rsid w:val="00681014"/>
    <w:rsid w:val="0068121D"/>
    <w:rsid w:val="00681319"/>
    <w:rsid w:val="00681FF0"/>
    <w:rsid w:val="00686C91"/>
    <w:rsid w:val="006925A1"/>
    <w:rsid w:val="006A0CDB"/>
    <w:rsid w:val="006A1256"/>
    <w:rsid w:val="006A4505"/>
    <w:rsid w:val="006A46F1"/>
    <w:rsid w:val="006A4C5E"/>
    <w:rsid w:val="006A761E"/>
    <w:rsid w:val="006B2D44"/>
    <w:rsid w:val="006B50C4"/>
    <w:rsid w:val="006C5D4F"/>
    <w:rsid w:val="006D26B7"/>
    <w:rsid w:val="006E04EA"/>
    <w:rsid w:val="006E2F4A"/>
    <w:rsid w:val="006E4CB3"/>
    <w:rsid w:val="006E7581"/>
    <w:rsid w:val="006F665E"/>
    <w:rsid w:val="006F741D"/>
    <w:rsid w:val="00700A8D"/>
    <w:rsid w:val="00700FA0"/>
    <w:rsid w:val="00701AB3"/>
    <w:rsid w:val="0070315E"/>
    <w:rsid w:val="00703D68"/>
    <w:rsid w:val="00704FC5"/>
    <w:rsid w:val="007058DB"/>
    <w:rsid w:val="007067E9"/>
    <w:rsid w:val="0071206B"/>
    <w:rsid w:val="007135F2"/>
    <w:rsid w:val="00717995"/>
    <w:rsid w:val="0073468A"/>
    <w:rsid w:val="007402C4"/>
    <w:rsid w:val="007523CF"/>
    <w:rsid w:val="00752F64"/>
    <w:rsid w:val="00753A6E"/>
    <w:rsid w:val="00756654"/>
    <w:rsid w:val="00760134"/>
    <w:rsid w:val="007623F6"/>
    <w:rsid w:val="00762558"/>
    <w:rsid w:val="007664BD"/>
    <w:rsid w:val="00766E03"/>
    <w:rsid w:val="00771A54"/>
    <w:rsid w:val="007776BB"/>
    <w:rsid w:val="00781CA9"/>
    <w:rsid w:val="0078381E"/>
    <w:rsid w:val="00783DBA"/>
    <w:rsid w:val="007846A0"/>
    <w:rsid w:val="00785A55"/>
    <w:rsid w:val="00787E58"/>
    <w:rsid w:val="0079533E"/>
    <w:rsid w:val="007973A8"/>
    <w:rsid w:val="00797BB0"/>
    <w:rsid w:val="007A1CF4"/>
    <w:rsid w:val="007A6211"/>
    <w:rsid w:val="007B1098"/>
    <w:rsid w:val="007B2D94"/>
    <w:rsid w:val="007B5776"/>
    <w:rsid w:val="007B64A9"/>
    <w:rsid w:val="007B6B96"/>
    <w:rsid w:val="007C1227"/>
    <w:rsid w:val="007C13D2"/>
    <w:rsid w:val="007C27F1"/>
    <w:rsid w:val="007C6DDA"/>
    <w:rsid w:val="007D23A9"/>
    <w:rsid w:val="007D7E92"/>
    <w:rsid w:val="007E0567"/>
    <w:rsid w:val="007E22CD"/>
    <w:rsid w:val="007E59B3"/>
    <w:rsid w:val="007E6783"/>
    <w:rsid w:val="007F08AC"/>
    <w:rsid w:val="007F1D7D"/>
    <w:rsid w:val="007F4B8D"/>
    <w:rsid w:val="008010C4"/>
    <w:rsid w:val="00801C1C"/>
    <w:rsid w:val="00807D7D"/>
    <w:rsid w:val="00811FB5"/>
    <w:rsid w:val="00815293"/>
    <w:rsid w:val="0081647D"/>
    <w:rsid w:val="00822C31"/>
    <w:rsid w:val="00824582"/>
    <w:rsid w:val="00826469"/>
    <w:rsid w:val="00826ED0"/>
    <w:rsid w:val="00835863"/>
    <w:rsid w:val="0084265D"/>
    <w:rsid w:val="00843609"/>
    <w:rsid w:val="00843DC9"/>
    <w:rsid w:val="00845952"/>
    <w:rsid w:val="00846D4B"/>
    <w:rsid w:val="00847FDD"/>
    <w:rsid w:val="00851289"/>
    <w:rsid w:val="0085211B"/>
    <w:rsid w:val="008521BC"/>
    <w:rsid w:val="00854DF1"/>
    <w:rsid w:val="00855F2D"/>
    <w:rsid w:val="00856390"/>
    <w:rsid w:val="00856DA1"/>
    <w:rsid w:val="00860DBE"/>
    <w:rsid w:val="0086288D"/>
    <w:rsid w:val="00866672"/>
    <w:rsid w:val="008819B3"/>
    <w:rsid w:val="00890A64"/>
    <w:rsid w:val="008913D4"/>
    <w:rsid w:val="00892118"/>
    <w:rsid w:val="008943E5"/>
    <w:rsid w:val="00895EC5"/>
    <w:rsid w:val="008A0473"/>
    <w:rsid w:val="008A3F68"/>
    <w:rsid w:val="008A4826"/>
    <w:rsid w:val="008A4C07"/>
    <w:rsid w:val="008A7F78"/>
    <w:rsid w:val="008B26CE"/>
    <w:rsid w:val="008B311B"/>
    <w:rsid w:val="008C5B2F"/>
    <w:rsid w:val="008C64AA"/>
    <w:rsid w:val="008C672B"/>
    <w:rsid w:val="008C6755"/>
    <w:rsid w:val="008D0D86"/>
    <w:rsid w:val="008D246B"/>
    <w:rsid w:val="008D263C"/>
    <w:rsid w:val="008D54A6"/>
    <w:rsid w:val="008D63E3"/>
    <w:rsid w:val="008D7EF9"/>
    <w:rsid w:val="008D7F81"/>
    <w:rsid w:val="008E1CD8"/>
    <w:rsid w:val="008E2E6C"/>
    <w:rsid w:val="008E3C9A"/>
    <w:rsid w:val="008E45C4"/>
    <w:rsid w:val="008E6C7D"/>
    <w:rsid w:val="008E7523"/>
    <w:rsid w:val="008E7BC2"/>
    <w:rsid w:val="008F0D1B"/>
    <w:rsid w:val="008F1EA0"/>
    <w:rsid w:val="008F3955"/>
    <w:rsid w:val="008F3CA3"/>
    <w:rsid w:val="008F6F84"/>
    <w:rsid w:val="008F7499"/>
    <w:rsid w:val="008F7C10"/>
    <w:rsid w:val="0090072D"/>
    <w:rsid w:val="0090792C"/>
    <w:rsid w:val="0091231D"/>
    <w:rsid w:val="00912D80"/>
    <w:rsid w:val="00913503"/>
    <w:rsid w:val="00917013"/>
    <w:rsid w:val="00925694"/>
    <w:rsid w:val="00925F70"/>
    <w:rsid w:val="00925F72"/>
    <w:rsid w:val="00933476"/>
    <w:rsid w:val="0093596C"/>
    <w:rsid w:val="00937340"/>
    <w:rsid w:val="009376CF"/>
    <w:rsid w:val="00941B5C"/>
    <w:rsid w:val="0094307D"/>
    <w:rsid w:val="00943C55"/>
    <w:rsid w:val="009452F6"/>
    <w:rsid w:val="00954085"/>
    <w:rsid w:val="009560E2"/>
    <w:rsid w:val="009603EE"/>
    <w:rsid w:val="009607FA"/>
    <w:rsid w:val="00960934"/>
    <w:rsid w:val="00960D81"/>
    <w:rsid w:val="00961C2F"/>
    <w:rsid w:val="00964A65"/>
    <w:rsid w:val="00967876"/>
    <w:rsid w:val="009734A3"/>
    <w:rsid w:val="00975391"/>
    <w:rsid w:val="009807DF"/>
    <w:rsid w:val="009812DE"/>
    <w:rsid w:val="00982DB4"/>
    <w:rsid w:val="00985906"/>
    <w:rsid w:val="009862F1"/>
    <w:rsid w:val="009871E5"/>
    <w:rsid w:val="00993326"/>
    <w:rsid w:val="009A0512"/>
    <w:rsid w:val="009A0C37"/>
    <w:rsid w:val="009A2C77"/>
    <w:rsid w:val="009A3465"/>
    <w:rsid w:val="009A3C07"/>
    <w:rsid w:val="009A4945"/>
    <w:rsid w:val="009A4E62"/>
    <w:rsid w:val="009A548B"/>
    <w:rsid w:val="009A76B3"/>
    <w:rsid w:val="009B0456"/>
    <w:rsid w:val="009B1A98"/>
    <w:rsid w:val="009C53E4"/>
    <w:rsid w:val="009D055D"/>
    <w:rsid w:val="009D20BC"/>
    <w:rsid w:val="009E108E"/>
    <w:rsid w:val="009E5396"/>
    <w:rsid w:val="009E5452"/>
    <w:rsid w:val="009E5BC7"/>
    <w:rsid w:val="009E5CD0"/>
    <w:rsid w:val="009E62AD"/>
    <w:rsid w:val="009F61C2"/>
    <w:rsid w:val="00A02AB4"/>
    <w:rsid w:val="00A05B8C"/>
    <w:rsid w:val="00A07AB0"/>
    <w:rsid w:val="00A176D2"/>
    <w:rsid w:val="00A21659"/>
    <w:rsid w:val="00A21704"/>
    <w:rsid w:val="00A23133"/>
    <w:rsid w:val="00A25CD7"/>
    <w:rsid w:val="00A273AA"/>
    <w:rsid w:val="00A30320"/>
    <w:rsid w:val="00A336EE"/>
    <w:rsid w:val="00A348B5"/>
    <w:rsid w:val="00A36BB2"/>
    <w:rsid w:val="00A37240"/>
    <w:rsid w:val="00A405C8"/>
    <w:rsid w:val="00A40821"/>
    <w:rsid w:val="00A41424"/>
    <w:rsid w:val="00A41C5B"/>
    <w:rsid w:val="00A4220E"/>
    <w:rsid w:val="00A43499"/>
    <w:rsid w:val="00A473E9"/>
    <w:rsid w:val="00A47DE5"/>
    <w:rsid w:val="00A47FE3"/>
    <w:rsid w:val="00A54D68"/>
    <w:rsid w:val="00A57404"/>
    <w:rsid w:val="00A57D20"/>
    <w:rsid w:val="00A6664F"/>
    <w:rsid w:val="00A74EEC"/>
    <w:rsid w:val="00A774DA"/>
    <w:rsid w:val="00A80321"/>
    <w:rsid w:val="00A811EA"/>
    <w:rsid w:val="00A859B0"/>
    <w:rsid w:val="00A85BA8"/>
    <w:rsid w:val="00A8642C"/>
    <w:rsid w:val="00A867D1"/>
    <w:rsid w:val="00A86FEC"/>
    <w:rsid w:val="00A951EA"/>
    <w:rsid w:val="00A97653"/>
    <w:rsid w:val="00AA43FA"/>
    <w:rsid w:val="00AA4A01"/>
    <w:rsid w:val="00AA5C7C"/>
    <w:rsid w:val="00AA6916"/>
    <w:rsid w:val="00AB4637"/>
    <w:rsid w:val="00AB5DD5"/>
    <w:rsid w:val="00AB625A"/>
    <w:rsid w:val="00AB72C1"/>
    <w:rsid w:val="00AC215B"/>
    <w:rsid w:val="00AC277A"/>
    <w:rsid w:val="00AC3CEB"/>
    <w:rsid w:val="00AC7B73"/>
    <w:rsid w:val="00AD1495"/>
    <w:rsid w:val="00AD3963"/>
    <w:rsid w:val="00AD786E"/>
    <w:rsid w:val="00AE050B"/>
    <w:rsid w:val="00AE08F9"/>
    <w:rsid w:val="00AE093F"/>
    <w:rsid w:val="00AE19FF"/>
    <w:rsid w:val="00AE3023"/>
    <w:rsid w:val="00AE63AB"/>
    <w:rsid w:val="00AE63EF"/>
    <w:rsid w:val="00AE76F6"/>
    <w:rsid w:val="00AF3A88"/>
    <w:rsid w:val="00AF5353"/>
    <w:rsid w:val="00B03767"/>
    <w:rsid w:val="00B04279"/>
    <w:rsid w:val="00B1122F"/>
    <w:rsid w:val="00B1127D"/>
    <w:rsid w:val="00B134B6"/>
    <w:rsid w:val="00B1370D"/>
    <w:rsid w:val="00B20353"/>
    <w:rsid w:val="00B203C5"/>
    <w:rsid w:val="00B21EFA"/>
    <w:rsid w:val="00B247A7"/>
    <w:rsid w:val="00B274A1"/>
    <w:rsid w:val="00B32EBF"/>
    <w:rsid w:val="00B3396D"/>
    <w:rsid w:val="00B34499"/>
    <w:rsid w:val="00B34F1A"/>
    <w:rsid w:val="00B37D58"/>
    <w:rsid w:val="00B401B8"/>
    <w:rsid w:val="00B4071E"/>
    <w:rsid w:val="00B43683"/>
    <w:rsid w:val="00B443B8"/>
    <w:rsid w:val="00B449B9"/>
    <w:rsid w:val="00B45934"/>
    <w:rsid w:val="00B461E8"/>
    <w:rsid w:val="00B507E7"/>
    <w:rsid w:val="00B52C7E"/>
    <w:rsid w:val="00B53C3F"/>
    <w:rsid w:val="00B551FC"/>
    <w:rsid w:val="00B55A03"/>
    <w:rsid w:val="00B55B9C"/>
    <w:rsid w:val="00B57911"/>
    <w:rsid w:val="00B61559"/>
    <w:rsid w:val="00B61CA8"/>
    <w:rsid w:val="00B62417"/>
    <w:rsid w:val="00B6280C"/>
    <w:rsid w:val="00B62AA1"/>
    <w:rsid w:val="00B62AEB"/>
    <w:rsid w:val="00B63E44"/>
    <w:rsid w:val="00B667B4"/>
    <w:rsid w:val="00B66DF3"/>
    <w:rsid w:val="00B67622"/>
    <w:rsid w:val="00B70219"/>
    <w:rsid w:val="00B72C28"/>
    <w:rsid w:val="00B813D3"/>
    <w:rsid w:val="00B816BD"/>
    <w:rsid w:val="00B853F4"/>
    <w:rsid w:val="00B93642"/>
    <w:rsid w:val="00BA246C"/>
    <w:rsid w:val="00BA289F"/>
    <w:rsid w:val="00BB5703"/>
    <w:rsid w:val="00BB5DE6"/>
    <w:rsid w:val="00BC3D58"/>
    <w:rsid w:val="00BD10EF"/>
    <w:rsid w:val="00BD1DFD"/>
    <w:rsid w:val="00BD71F3"/>
    <w:rsid w:val="00BE3B72"/>
    <w:rsid w:val="00BE6B78"/>
    <w:rsid w:val="00BF0885"/>
    <w:rsid w:val="00BF15C3"/>
    <w:rsid w:val="00BF1707"/>
    <w:rsid w:val="00BF3750"/>
    <w:rsid w:val="00BF5372"/>
    <w:rsid w:val="00BF6D4A"/>
    <w:rsid w:val="00BF6D99"/>
    <w:rsid w:val="00C02EF0"/>
    <w:rsid w:val="00C05691"/>
    <w:rsid w:val="00C06889"/>
    <w:rsid w:val="00C12AC8"/>
    <w:rsid w:val="00C14CD7"/>
    <w:rsid w:val="00C17457"/>
    <w:rsid w:val="00C178E1"/>
    <w:rsid w:val="00C17F23"/>
    <w:rsid w:val="00C21275"/>
    <w:rsid w:val="00C21747"/>
    <w:rsid w:val="00C35F66"/>
    <w:rsid w:val="00C37CCC"/>
    <w:rsid w:val="00C40621"/>
    <w:rsid w:val="00C42113"/>
    <w:rsid w:val="00C44F4C"/>
    <w:rsid w:val="00C45710"/>
    <w:rsid w:val="00C46299"/>
    <w:rsid w:val="00C51A2B"/>
    <w:rsid w:val="00C56337"/>
    <w:rsid w:val="00C56960"/>
    <w:rsid w:val="00C57924"/>
    <w:rsid w:val="00C62315"/>
    <w:rsid w:val="00C64015"/>
    <w:rsid w:val="00C70087"/>
    <w:rsid w:val="00C70C6A"/>
    <w:rsid w:val="00C7167B"/>
    <w:rsid w:val="00C74EC9"/>
    <w:rsid w:val="00C75F42"/>
    <w:rsid w:val="00C77A92"/>
    <w:rsid w:val="00C80C94"/>
    <w:rsid w:val="00C81CEF"/>
    <w:rsid w:val="00C8266A"/>
    <w:rsid w:val="00C83943"/>
    <w:rsid w:val="00C83D0A"/>
    <w:rsid w:val="00C844DB"/>
    <w:rsid w:val="00C8490E"/>
    <w:rsid w:val="00C84F10"/>
    <w:rsid w:val="00C85993"/>
    <w:rsid w:val="00C91F9A"/>
    <w:rsid w:val="00C94408"/>
    <w:rsid w:val="00C971D1"/>
    <w:rsid w:val="00CA0E27"/>
    <w:rsid w:val="00CA230B"/>
    <w:rsid w:val="00CA3239"/>
    <w:rsid w:val="00CA3C00"/>
    <w:rsid w:val="00CB3CEF"/>
    <w:rsid w:val="00CB7152"/>
    <w:rsid w:val="00CB72B2"/>
    <w:rsid w:val="00CC471B"/>
    <w:rsid w:val="00CC4C02"/>
    <w:rsid w:val="00CC6124"/>
    <w:rsid w:val="00CD0E0C"/>
    <w:rsid w:val="00CD291C"/>
    <w:rsid w:val="00CD35C3"/>
    <w:rsid w:val="00CD7665"/>
    <w:rsid w:val="00CE1D87"/>
    <w:rsid w:val="00CE4E52"/>
    <w:rsid w:val="00CF0BC4"/>
    <w:rsid w:val="00CF147B"/>
    <w:rsid w:val="00CF49AE"/>
    <w:rsid w:val="00CF65D4"/>
    <w:rsid w:val="00CF6CC6"/>
    <w:rsid w:val="00D05830"/>
    <w:rsid w:val="00D06098"/>
    <w:rsid w:val="00D06137"/>
    <w:rsid w:val="00D10695"/>
    <w:rsid w:val="00D126C5"/>
    <w:rsid w:val="00D2087B"/>
    <w:rsid w:val="00D21951"/>
    <w:rsid w:val="00D311A6"/>
    <w:rsid w:val="00D33214"/>
    <w:rsid w:val="00D420B9"/>
    <w:rsid w:val="00D42FF1"/>
    <w:rsid w:val="00D6073A"/>
    <w:rsid w:val="00D619B3"/>
    <w:rsid w:val="00D63CED"/>
    <w:rsid w:val="00D666C5"/>
    <w:rsid w:val="00D73D19"/>
    <w:rsid w:val="00D771CC"/>
    <w:rsid w:val="00D82D13"/>
    <w:rsid w:val="00D9643B"/>
    <w:rsid w:val="00D977A0"/>
    <w:rsid w:val="00D97A2E"/>
    <w:rsid w:val="00DB3614"/>
    <w:rsid w:val="00DB482B"/>
    <w:rsid w:val="00DB7264"/>
    <w:rsid w:val="00DC0619"/>
    <w:rsid w:val="00DC4114"/>
    <w:rsid w:val="00DC5FDA"/>
    <w:rsid w:val="00DC60A0"/>
    <w:rsid w:val="00DC619C"/>
    <w:rsid w:val="00DD0A53"/>
    <w:rsid w:val="00DD1226"/>
    <w:rsid w:val="00DE3E32"/>
    <w:rsid w:val="00DE4DC8"/>
    <w:rsid w:val="00DF4714"/>
    <w:rsid w:val="00DF50D8"/>
    <w:rsid w:val="00DF7CCD"/>
    <w:rsid w:val="00E06264"/>
    <w:rsid w:val="00E064AC"/>
    <w:rsid w:val="00E14500"/>
    <w:rsid w:val="00E1454B"/>
    <w:rsid w:val="00E15283"/>
    <w:rsid w:val="00E16121"/>
    <w:rsid w:val="00E21500"/>
    <w:rsid w:val="00E23215"/>
    <w:rsid w:val="00E233B9"/>
    <w:rsid w:val="00E23BCF"/>
    <w:rsid w:val="00E26BCF"/>
    <w:rsid w:val="00E27617"/>
    <w:rsid w:val="00E308B3"/>
    <w:rsid w:val="00E31664"/>
    <w:rsid w:val="00E3234E"/>
    <w:rsid w:val="00E338A5"/>
    <w:rsid w:val="00E40815"/>
    <w:rsid w:val="00E417E8"/>
    <w:rsid w:val="00E448F3"/>
    <w:rsid w:val="00E44996"/>
    <w:rsid w:val="00E522F3"/>
    <w:rsid w:val="00E533B0"/>
    <w:rsid w:val="00E53CA8"/>
    <w:rsid w:val="00E53E20"/>
    <w:rsid w:val="00E5415C"/>
    <w:rsid w:val="00E5437C"/>
    <w:rsid w:val="00E57DD4"/>
    <w:rsid w:val="00E6437E"/>
    <w:rsid w:val="00E65A69"/>
    <w:rsid w:val="00E65E14"/>
    <w:rsid w:val="00E65FF7"/>
    <w:rsid w:val="00E87D49"/>
    <w:rsid w:val="00E87EB9"/>
    <w:rsid w:val="00E91983"/>
    <w:rsid w:val="00EA6EEA"/>
    <w:rsid w:val="00EA7C09"/>
    <w:rsid w:val="00EB2A2C"/>
    <w:rsid w:val="00EB77D8"/>
    <w:rsid w:val="00EC063D"/>
    <w:rsid w:val="00EC06BA"/>
    <w:rsid w:val="00EC4837"/>
    <w:rsid w:val="00EC495A"/>
    <w:rsid w:val="00EC557D"/>
    <w:rsid w:val="00ED1A98"/>
    <w:rsid w:val="00ED2272"/>
    <w:rsid w:val="00ED4E7E"/>
    <w:rsid w:val="00EE1E4D"/>
    <w:rsid w:val="00EE52D6"/>
    <w:rsid w:val="00EF0B34"/>
    <w:rsid w:val="00EF1712"/>
    <w:rsid w:val="00EF2E90"/>
    <w:rsid w:val="00EF66CD"/>
    <w:rsid w:val="00EF6E89"/>
    <w:rsid w:val="00F05A9B"/>
    <w:rsid w:val="00F20CC6"/>
    <w:rsid w:val="00F341DE"/>
    <w:rsid w:val="00F3646B"/>
    <w:rsid w:val="00F40000"/>
    <w:rsid w:val="00F41058"/>
    <w:rsid w:val="00F416FF"/>
    <w:rsid w:val="00F419A3"/>
    <w:rsid w:val="00F4397F"/>
    <w:rsid w:val="00F440C7"/>
    <w:rsid w:val="00F45E4C"/>
    <w:rsid w:val="00F54D9E"/>
    <w:rsid w:val="00F555CB"/>
    <w:rsid w:val="00F558D7"/>
    <w:rsid w:val="00F62411"/>
    <w:rsid w:val="00F63EBB"/>
    <w:rsid w:val="00F67AD0"/>
    <w:rsid w:val="00F71774"/>
    <w:rsid w:val="00F72D93"/>
    <w:rsid w:val="00F7352C"/>
    <w:rsid w:val="00F74621"/>
    <w:rsid w:val="00F82F52"/>
    <w:rsid w:val="00F848F7"/>
    <w:rsid w:val="00F87B69"/>
    <w:rsid w:val="00F950B8"/>
    <w:rsid w:val="00FA25A3"/>
    <w:rsid w:val="00FA45BC"/>
    <w:rsid w:val="00FA5A65"/>
    <w:rsid w:val="00FB1321"/>
    <w:rsid w:val="00FB41B1"/>
    <w:rsid w:val="00FC01FC"/>
    <w:rsid w:val="00FC7973"/>
    <w:rsid w:val="00FD1CAA"/>
    <w:rsid w:val="00FD3DE0"/>
    <w:rsid w:val="00FE16B4"/>
    <w:rsid w:val="00FE4F39"/>
    <w:rsid w:val="00FE521E"/>
    <w:rsid w:val="00FE685A"/>
    <w:rsid w:val="00FE7E8F"/>
    <w:rsid w:val="00FF3EC1"/>
    <w:rsid w:val="00FF7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8F7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5EB2C4-4CE4-A749-AB89-96CBB4D1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1101</Words>
  <Characters>6282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Utente di Microsoft Office</cp:lastModifiedBy>
  <cp:revision>9</cp:revision>
  <cp:lastPrinted>2017-06-23T10:55:00Z</cp:lastPrinted>
  <dcterms:created xsi:type="dcterms:W3CDTF">2017-06-23T10:34:00Z</dcterms:created>
  <dcterms:modified xsi:type="dcterms:W3CDTF">2017-06-27T11:33:00Z</dcterms:modified>
</cp:coreProperties>
</file>