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B57AB" w14:textId="77777777" w:rsidR="00DE5782" w:rsidRPr="000E33EC" w:rsidRDefault="00DE5782" w:rsidP="00221D2F">
      <w:pPr>
        <w:rPr>
          <w:rFonts w:asciiTheme="minorHAnsi" w:hAnsiTheme="minorHAnsi" w:cstheme="minorHAnsi"/>
          <w:sz w:val="21"/>
          <w:szCs w:val="21"/>
        </w:rPr>
      </w:pPr>
    </w:p>
    <w:p w14:paraId="5ABD3BDF" w14:textId="77777777" w:rsidR="008674F6" w:rsidRPr="000E33EC" w:rsidRDefault="008674F6" w:rsidP="00221D2F">
      <w:pPr>
        <w:rPr>
          <w:rFonts w:asciiTheme="minorHAnsi" w:hAnsiTheme="minorHAnsi" w:cstheme="minorHAnsi"/>
          <w:sz w:val="21"/>
          <w:szCs w:val="21"/>
        </w:rPr>
      </w:pPr>
    </w:p>
    <w:p w14:paraId="6F51BB2B" w14:textId="4A94AAEF" w:rsidR="00DE5782" w:rsidRPr="000E33EC" w:rsidRDefault="008F2D0F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>PROVA SCRITTA</w:t>
      </w:r>
      <w:r w:rsidR="00221D2F" w:rsidRPr="000E33EC">
        <w:rPr>
          <w:rFonts w:asciiTheme="minorHAnsi" w:hAnsiTheme="minorHAnsi" w:cstheme="minorHAnsi"/>
          <w:b/>
          <w:sz w:val="21"/>
          <w:szCs w:val="21"/>
        </w:rPr>
        <w:t xml:space="preserve"> DI </w:t>
      </w:r>
      <w:r w:rsidR="00EA6EEA" w:rsidRPr="000E33EC">
        <w:rPr>
          <w:rFonts w:asciiTheme="minorHAnsi" w:hAnsiTheme="minorHAnsi" w:cstheme="minorHAnsi"/>
          <w:b/>
          <w:sz w:val="21"/>
          <w:szCs w:val="21"/>
        </w:rPr>
        <w:t>ECONOMIA E GESTIONE DELLE IMPRESE</w:t>
      </w:r>
      <w:r w:rsidRPr="000E33EC">
        <w:rPr>
          <w:rFonts w:asciiTheme="minorHAnsi" w:hAnsiTheme="minorHAnsi" w:cstheme="minorHAnsi"/>
          <w:b/>
          <w:sz w:val="21"/>
          <w:szCs w:val="21"/>
        </w:rPr>
        <w:t xml:space="preserve"> del </w:t>
      </w:r>
      <w:r w:rsidR="00076B08" w:rsidRPr="000E33EC">
        <w:rPr>
          <w:rFonts w:asciiTheme="minorHAnsi" w:hAnsiTheme="minorHAnsi" w:cstheme="minorHAnsi"/>
          <w:b/>
          <w:sz w:val="21"/>
          <w:szCs w:val="21"/>
        </w:rPr>
        <w:t>29 maggio</w:t>
      </w:r>
      <w:r w:rsidRPr="000E33EC">
        <w:rPr>
          <w:rFonts w:asciiTheme="minorHAnsi" w:hAnsiTheme="minorHAnsi" w:cstheme="minorHAnsi"/>
          <w:b/>
          <w:sz w:val="21"/>
          <w:szCs w:val="21"/>
        </w:rPr>
        <w:t xml:space="preserve"> 20</w:t>
      </w:r>
      <w:r w:rsidR="005F43F3" w:rsidRPr="000E33EC">
        <w:rPr>
          <w:rFonts w:asciiTheme="minorHAnsi" w:hAnsiTheme="minorHAnsi" w:cstheme="minorHAnsi"/>
          <w:b/>
          <w:sz w:val="21"/>
          <w:szCs w:val="21"/>
        </w:rPr>
        <w:t>20</w:t>
      </w:r>
    </w:p>
    <w:p w14:paraId="66332649" w14:textId="77777777" w:rsidR="008674F6" w:rsidRPr="000E33EC" w:rsidRDefault="008674F6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63B1B8A" w14:textId="408BD8DE" w:rsidR="00076B08" w:rsidRPr="000E33EC" w:rsidRDefault="00076B08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>PARTE VERO/FALSO</w:t>
      </w:r>
    </w:p>
    <w:p w14:paraId="41D2A9B1" w14:textId="77777777" w:rsidR="009B4097" w:rsidRDefault="009B4097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00B8F5E" w14:textId="1900769A" w:rsidR="00853B33" w:rsidRPr="000E33EC" w:rsidRDefault="00853B33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>TEMPO A DISPOSIZIONE: 30 MINUTI</w:t>
      </w:r>
    </w:p>
    <w:p w14:paraId="4D037D27" w14:textId="77777777" w:rsidR="00076B08" w:rsidRPr="000E33EC" w:rsidRDefault="00076B08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8E3E615" w14:textId="149C58B3" w:rsidR="008F2D0F" w:rsidRPr="000E33EC" w:rsidRDefault="008F2D0F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 xml:space="preserve">N.ro MATRICOLA </w:t>
      </w:r>
      <w:r w:rsidR="002B2F4A" w:rsidRPr="000E33EC">
        <w:rPr>
          <w:rFonts w:asciiTheme="minorHAnsi" w:hAnsiTheme="minorHAnsi" w:cstheme="minorHAnsi"/>
          <w:b/>
          <w:sz w:val="21"/>
          <w:szCs w:val="21"/>
        </w:rPr>
        <w:t xml:space="preserve">DELLO STUDENTE </w:t>
      </w:r>
      <w:r w:rsidRPr="000E33EC">
        <w:rPr>
          <w:rFonts w:asciiTheme="minorHAnsi" w:hAnsiTheme="minorHAnsi" w:cstheme="minorHAnsi"/>
          <w:b/>
          <w:sz w:val="21"/>
          <w:szCs w:val="21"/>
        </w:rPr>
        <w:t>____________________________________</w:t>
      </w:r>
    </w:p>
    <w:p w14:paraId="45F6C345" w14:textId="77777777" w:rsidR="003D0E7B" w:rsidRPr="000E33EC" w:rsidRDefault="003D0E7B" w:rsidP="00221D2F">
      <w:pPr>
        <w:rPr>
          <w:rFonts w:asciiTheme="minorHAnsi" w:hAnsiTheme="minorHAnsi" w:cstheme="minorHAnsi"/>
          <w:sz w:val="21"/>
          <w:szCs w:val="21"/>
        </w:rPr>
      </w:pPr>
    </w:p>
    <w:p w14:paraId="1DE40D22" w14:textId="77777777" w:rsidR="00076B08" w:rsidRPr="000E33EC" w:rsidRDefault="00076B08" w:rsidP="00076B08">
      <w:pPr>
        <w:rPr>
          <w:rFonts w:asciiTheme="minorHAnsi" w:hAnsiTheme="minorHAnsi" w:cstheme="minorHAnsi"/>
          <w:sz w:val="21"/>
          <w:szCs w:val="21"/>
        </w:rPr>
      </w:pPr>
    </w:p>
    <w:p w14:paraId="2833DABF" w14:textId="77777777" w:rsidR="00B75F42" w:rsidRPr="000E33EC" w:rsidRDefault="009A0512" w:rsidP="00F92E8A">
      <w:pPr>
        <w:rPr>
          <w:rFonts w:asciiTheme="minorHAnsi" w:hAnsiTheme="minorHAnsi" w:cstheme="minorHAnsi"/>
          <w:sz w:val="21"/>
          <w:szCs w:val="21"/>
        </w:rPr>
      </w:pPr>
      <w:r w:rsidRPr="000E33EC">
        <w:rPr>
          <w:rFonts w:asciiTheme="minorHAnsi" w:hAnsiTheme="minorHAnsi" w:cstheme="minorHAnsi"/>
          <w:sz w:val="21"/>
          <w:szCs w:val="21"/>
        </w:rPr>
        <w:t xml:space="preserve">Le seguenti proposizioni possono essere vere (V) o false (F). Si metta una </w:t>
      </w:r>
      <w:r w:rsidRPr="000E33EC">
        <w:rPr>
          <w:rFonts w:asciiTheme="minorHAnsi" w:hAnsiTheme="minorHAnsi" w:cstheme="minorHAnsi"/>
          <w:b/>
          <w:sz w:val="21"/>
          <w:szCs w:val="21"/>
        </w:rPr>
        <w:t>crocetta</w:t>
      </w:r>
      <w:r w:rsidRPr="000E33EC">
        <w:rPr>
          <w:rFonts w:asciiTheme="minorHAnsi" w:hAnsiTheme="minorHAnsi" w:cstheme="minorHAnsi"/>
          <w:sz w:val="21"/>
          <w:szCs w:val="21"/>
        </w:rPr>
        <w:t xml:space="preserve"> sulla colonna appropriata. </w:t>
      </w:r>
    </w:p>
    <w:p w14:paraId="6199B707" w14:textId="39B9CE80" w:rsidR="00C57924" w:rsidRPr="000E33EC" w:rsidRDefault="00D227B7" w:rsidP="00F92E8A">
      <w:pPr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>SONO PREVISTE PENALIZZAZIONI PER LE RISPOSTE SBAGLIATE</w:t>
      </w:r>
    </w:p>
    <w:tbl>
      <w:tblPr>
        <w:tblStyle w:val="Grigliatabella"/>
        <w:tblW w:w="10802" w:type="dxa"/>
        <w:jc w:val="center"/>
        <w:tblLook w:val="04A0" w:firstRow="1" w:lastRow="0" w:firstColumn="1" w:lastColumn="0" w:noHBand="0" w:noVBand="1"/>
      </w:tblPr>
      <w:tblGrid>
        <w:gridCol w:w="9523"/>
        <w:gridCol w:w="624"/>
        <w:gridCol w:w="655"/>
      </w:tblGrid>
      <w:tr w:rsidR="00A12684" w:rsidRPr="000E33EC" w14:paraId="518432A1" w14:textId="77777777" w:rsidTr="006D6A9C">
        <w:trPr>
          <w:tblHeader/>
          <w:jc w:val="center"/>
        </w:trPr>
        <w:tc>
          <w:tcPr>
            <w:tcW w:w="9725" w:type="dxa"/>
          </w:tcPr>
          <w:p w14:paraId="313A200B" w14:textId="77777777" w:rsidR="00A12684" w:rsidRPr="000E33EC" w:rsidRDefault="00A12684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27" w:type="dxa"/>
          </w:tcPr>
          <w:p w14:paraId="1DEC1DF7" w14:textId="25F2E156" w:rsidR="00A12684" w:rsidRPr="000E33E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V</w:t>
            </w:r>
            <w:r w:rsidR="00F92E8A" w:rsidRPr="000E33E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ero</w:t>
            </w:r>
          </w:p>
        </w:tc>
        <w:tc>
          <w:tcPr>
            <w:tcW w:w="550" w:type="dxa"/>
          </w:tcPr>
          <w:p w14:paraId="064649A7" w14:textId="13454DCB" w:rsidR="00A12684" w:rsidRPr="000E33E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F</w:t>
            </w:r>
            <w:r w:rsidR="00F92E8A" w:rsidRPr="000E33E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also</w:t>
            </w:r>
            <w:proofErr w:type="spellEnd"/>
          </w:p>
        </w:tc>
      </w:tr>
      <w:tr w:rsidR="00622069" w:rsidRPr="000E33EC" w14:paraId="2CF98749" w14:textId="77777777" w:rsidTr="006D6A9C">
        <w:trPr>
          <w:jc w:val="center"/>
        </w:trPr>
        <w:tc>
          <w:tcPr>
            <w:tcW w:w="9725" w:type="dxa"/>
          </w:tcPr>
          <w:p w14:paraId="3FA3105A" w14:textId="6863D2A8" w:rsidR="00622069" w:rsidRPr="000E33EC" w:rsidRDefault="00BC20DE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Con un profitto contabile negativo, il</w:t>
            </w:r>
            <w:r w:rsidR="00D67330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profitto economico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2D6957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reddito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residuale) non può che essere negativo</w:t>
            </w:r>
          </w:p>
        </w:tc>
        <w:tc>
          <w:tcPr>
            <w:tcW w:w="527" w:type="dxa"/>
          </w:tcPr>
          <w:p w14:paraId="6DB72ACE" w14:textId="61AB7444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6F20012" w14:textId="202D56F0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51749BAB" w14:textId="77777777" w:rsidTr="006D6A9C">
        <w:trPr>
          <w:jc w:val="center"/>
        </w:trPr>
        <w:tc>
          <w:tcPr>
            <w:tcW w:w="9725" w:type="dxa"/>
          </w:tcPr>
          <w:p w14:paraId="7BC7BFB3" w14:textId="518D483B" w:rsidR="00622069" w:rsidRPr="000E33EC" w:rsidRDefault="00BC20DE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Se la</w:t>
            </w:r>
            <w:r w:rsidR="00D67330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leva operativa è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4, il margine di sicurezza è 25%</w:t>
            </w:r>
          </w:p>
        </w:tc>
        <w:tc>
          <w:tcPr>
            <w:tcW w:w="527" w:type="dxa"/>
          </w:tcPr>
          <w:p w14:paraId="39124178" w14:textId="099838D0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0C6673C9" w14:textId="066D06A3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21E0298C" w14:textId="77777777" w:rsidTr="006D6A9C">
        <w:trPr>
          <w:jc w:val="center"/>
        </w:trPr>
        <w:tc>
          <w:tcPr>
            <w:tcW w:w="9725" w:type="dxa"/>
          </w:tcPr>
          <w:p w14:paraId="0184CB10" w14:textId="675D5EB5" w:rsidR="00622069" w:rsidRPr="000E33EC" w:rsidRDefault="00BC20DE" w:rsidP="00BC3D5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Gli ammortamenti sono di regola inferiori al costo del lavoro</w:t>
            </w:r>
          </w:p>
        </w:tc>
        <w:tc>
          <w:tcPr>
            <w:tcW w:w="527" w:type="dxa"/>
          </w:tcPr>
          <w:p w14:paraId="5E6ED36B" w14:textId="63B13A74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5CB188F6" w14:textId="2FC82A74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00B034E5" w14:textId="77777777" w:rsidTr="006D6A9C">
        <w:trPr>
          <w:jc w:val="center"/>
        </w:trPr>
        <w:tc>
          <w:tcPr>
            <w:tcW w:w="9725" w:type="dxa"/>
          </w:tcPr>
          <w:p w14:paraId="2FA6B415" w14:textId="152A7F88" w:rsidR="00622069" w:rsidRPr="000E33EC" w:rsidRDefault="00BC20DE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Da alcuni anni, i maggiori distretti industriali italiani sono quelli biotecnologici e dell’intelligenza artificiale</w:t>
            </w:r>
          </w:p>
        </w:tc>
        <w:tc>
          <w:tcPr>
            <w:tcW w:w="527" w:type="dxa"/>
          </w:tcPr>
          <w:p w14:paraId="29574366" w14:textId="7FF8309D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13C17B9F" w14:textId="2D116208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3E8D220A" w14:textId="77777777" w:rsidTr="006D6A9C">
        <w:trPr>
          <w:jc w:val="center"/>
        </w:trPr>
        <w:tc>
          <w:tcPr>
            <w:tcW w:w="9725" w:type="dxa"/>
          </w:tcPr>
          <w:p w14:paraId="02E9D62A" w14:textId="736D61A0" w:rsidR="00622069" w:rsidRPr="000E33EC" w:rsidRDefault="00D67330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La produttività del lavoro </w:t>
            </w:r>
            <w:r w:rsidR="00BC20DE" w:rsidRPr="000E33EC">
              <w:rPr>
                <w:rFonts w:asciiTheme="minorHAnsi" w:hAnsiTheme="minorHAnsi" w:cstheme="minorHAnsi"/>
                <w:sz w:val="21"/>
                <w:szCs w:val="21"/>
              </w:rPr>
              <w:t>può variare al variare del grado di integrazione verticale delle attività d’impresa</w:t>
            </w:r>
          </w:p>
        </w:tc>
        <w:tc>
          <w:tcPr>
            <w:tcW w:w="527" w:type="dxa"/>
          </w:tcPr>
          <w:p w14:paraId="5FC9B9BC" w14:textId="0EEAA819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58E75AA4" w14:textId="5A2CB6B6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0C0C73F9" w14:textId="77777777" w:rsidTr="006D6A9C">
        <w:trPr>
          <w:jc w:val="center"/>
        </w:trPr>
        <w:tc>
          <w:tcPr>
            <w:tcW w:w="9725" w:type="dxa"/>
          </w:tcPr>
          <w:p w14:paraId="475FB904" w14:textId="5D315B03" w:rsidR="00622069" w:rsidRPr="000E33EC" w:rsidRDefault="0062206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grado di concentrazione di un settore </w:t>
            </w:r>
            <w:r w:rsidR="00D67330" w:rsidRPr="000E33EC">
              <w:rPr>
                <w:rFonts w:asciiTheme="minorHAnsi" w:hAnsiTheme="minorHAnsi" w:cstheme="minorHAnsi"/>
                <w:sz w:val="21"/>
                <w:szCs w:val="21"/>
              </w:rPr>
              <w:t>è compreso tra lo 0% e il 100%</w:t>
            </w:r>
            <w:r w:rsidR="00BC20DE" w:rsidRPr="000E33EC">
              <w:rPr>
                <w:rFonts w:asciiTheme="minorHAnsi" w:hAnsiTheme="minorHAnsi" w:cstheme="minorHAnsi"/>
                <w:sz w:val="21"/>
                <w:szCs w:val="21"/>
              </w:rPr>
              <w:t>. I settori più frammentati sono quelli in cui questa percentuale è più bassa</w:t>
            </w:r>
          </w:p>
        </w:tc>
        <w:tc>
          <w:tcPr>
            <w:tcW w:w="527" w:type="dxa"/>
          </w:tcPr>
          <w:p w14:paraId="3E49B10F" w14:textId="5B3F7CBB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C1A67CA" w14:textId="77777777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0D3439A5" w14:textId="77777777" w:rsidTr="006D6A9C">
        <w:trPr>
          <w:jc w:val="center"/>
        </w:trPr>
        <w:tc>
          <w:tcPr>
            <w:tcW w:w="9725" w:type="dxa"/>
          </w:tcPr>
          <w:p w14:paraId="54C9C4CA" w14:textId="54D2C415" w:rsidR="00622069" w:rsidRPr="000E33EC" w:rsidRDefault="00D67330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Il</w:t>
            </w:r>
            <w:r w:rsidR="0062206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margine di sicurezza</w:t>
            </w:r>
            <w:r w:rsidR="00961891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può essere aumentato </w:t>
            </w:r>
            <w:r w:rsidR="00BC20DE" w:rsidRPr="000E33EC">
              <w:rPr>
                <w:rFonts w:asciiTheme="minorHAnsi" w:hAnsiTheme="minorHAnsi" w:cstheme="minorHAnsi"/>
                <w:sz w:val="21"/>
                <w:szCs w:val="21"/>
              </w:rPr>
              <w:t>attraverso un aumento delle vendite</w:t>
            </w:r>
            <w:r w:rsidR="00ED6393">
              <w:rPr>
                <w:rFonts w:asciiTheme="minorHAnsi" w:hAnsiTheme="minorHAnsi" w:cstheme="minorHAnsi"/>
                <w:sz w:val="21"/>
                <w:szCs w:val="21"/>
              </w:rPr>
              <w:t>, a parità di altre variabili</w:t>
            </w:r>
          </w:p>
        </w:tc>
        <w:tc>
          <w:tcPr>
            <w:tcW w:w="527" w:type="dxa"/>
          </w:tcPr>
          <w:p w14:paraId="5B8F4F19" w14:textId="2DA0EDDF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3DA6A7E" w14:textId="77777777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47983064" w14:textId="77777777" w:rsidTr="006D6A9C">
        <w:trPr>
          <w:jc w:val="center"/>
        </w:trPr>
        <w:tc>
          <w:tcPr>
            <w:tcW w:w="9725" w:type="dxa"/>
          </w:tcPr>
          <w:p w14:paraId="27942890" w14:textId="293C4801" w:rsidR="00622069" w:rsidRPr="000E33EC" w:rsidRDefault="00961891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ricarico </w:t>
            </w:r>
            <w:r w:rsidR="00BC20DE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%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sui costi variabili </w:t>
            </w:r>
            <w:r w:rsidR="00BC20DE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può essere anche pari al 10.000%, se l’impresa ha elevati costi fissi </w:t>
            </w:r>
            <w:r w:rsidR="00ED6393">
              <w:rPr>
                <w:rFonts w:asciiTheme="minorHAnsi" w:hAnsiTheme="minorHAnsi" w:cstheme="minorHAnsi"/>
                <w:sz w:val="21"/>
                <w:szCs w:val="21"/>
              </w:rPr>
              <w:t xml:space="preserve">da recuperare </w:t>
            </w:r>
            <w:r w:rsidR="00BC20DE" w:rsidRPr="000E33EC">
              <w:rPr>
                <w:rFonts w:asciiTheme="minorHAnsi" w:hAnsiTheme="minorHAnsi" w:cstheme="minorHAnsi"/>
                <w:sz w:val="21"/>
                <w:szCs w:val="21"/>
              </w:rPr>
              <w:t>e il mercato è disposto a pagare questo prezzo</w:t>
            </w:r>
          </w:p>
        </w:tc>
        <w:tc>
          <w:tcPr>
            <w:tcW w:w="527" w:type="dxa"/>
          </w:tcPr>
          <w:p w14:paraId="79E4E9EF" w14:textId="11D258FC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5DEF7CEB" w14:textId="276FA5D6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39DC403F" w14:textId="77777777" w:rsidTr="006D6A9C">
        <w:trPr>
          <w:jc w:val="center"/>
        </w:trPr>
        <w:tc>
          <w:tcPr>
            <w:tcW w:w="9725" w:type="dxa"/>
          </w:tcPr>
          <w:p w14:paraId="3485512F" w14:textId="14E9A937" w:rsidR="00622069" w:rsidRPr="000E33EC" w:rsidRDefault="00622069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rapporto </w:t>
            </w:r>
            <w:r w:rsidR="002535DC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tra Indebitamento Netto (numeratore) ed EBITDA (denominatore) </w:t>
            </w:r>
            <w:r w:rsidR="00BC20DE" w:rsidRPr="000E33EC">
              <w:rPr>
                <w:rFonts w:asciiTheme="minorHAnsi" w:hAnsiTheme="minorHAnsi" w:cstheme="minorHAnsi"/>
                <w:sz w:val="21"/>
                <w:szCs w:val="21"/>
              </w:rPr>
              <w:t>è un fondamentale indice di redditività operativa</w:t>
            </w:r>
          </w:p>
        </w:tc>
        <w:tc>
          <w:tcPr>
            <w:tcW w:w="527" w:type="dxa"/>
          </w:tcPr>
          <w:p w14:paraId="79883E47" w14:textId="0139D654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7ACA318F" w14:textId="4DAC6E46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5F52CFD5" w14:textId="77777777" w:rsidTr="006D6A9C">
        <w:trPr>
          <w:jc w:val="center"/>
        </w:trPr>
        <w:tc>
          <w:tcPr>
            <w:tcW w:w="9725" w:type="dxa"/>
          </w:tcPr>
          <w:p w14:paraId="5199901F" w14:textId="4EDFB12C" w:rsidR="00622069" w:rsidRPr="000E33EC" w:rsidRDefault="00DD65AC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Nella formula Dupont, i</w:t>
            </w:r>
            <w:r w:rsidR="0062206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 ROA (redditività dell’Attivo) </w:t>
            </w:r>
            <w:r w:rsidR="00BC20DE" w:rsidRPr="000E33EC">
              <w:rPr>
                <w:rFonts w:asciiTheme="minorHAnsi" w:hAnsiTheme="minorHAnsi" w:cstheme="minorHAnsi"/>
                <w:sz w:val="21"/>
                <w:szCs w:val="21"/>
              </w:rPr>
              <w:t>è di regola inferiore al ROE</w:t>
            </w:r>
          </w:p>
        </w:tc>
        <w:tc>
          <w:tcPr>
            <w:tcW w:w="527" w:type="dxa"/>
          </w:tcPr>
          <w:p w14:paraId="0B3AC9EF" w14:textId="6B0F4C24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6961930A" w14:textId="22E00C9A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30C09721" w14:textId="77777777" w:rsidTr="006D6A9C">
        <w:trPr>
          <w:jc w:val="center"/>
        </w:trPr>
        <w:tc>
          <w:tcPr>
            <w:tcW w:w="9725" w:type="dxa"/>
          </w:tcPr>
          <w:p w14:paraId="06FBF91F" w14:textId="2447506D" w:rsidR="00622069" w:rsidRPr="000E33EC" w:rsidRDefault="004843F1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Le imprese con </w:t>
            </w:r>
            <w:r w:rsidR="00ED6393">
              <w:rPr>
                <w:rFonts w:asciiTheme="minorHAnsi" w:hAnsiTheme="minorHAnsi" w:cstheme="minorHAnsi"/>
                <w:sz w:val="21"/>
                <w:szCs w:val="21"/>
              </w:rPr>
              <w:t>il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capitale investito </w:t>
            </w:r>
            <w:r w:rsidR="00ED6393">
              <w:rPr>
                <w:rFonts w:asciiTheme="minorHAnsi" w:hAnsiTheme="minorHAnsi" w:cstheme="minorHAnsi"/>
                <w:sz w:val="21"/>
                <w:szCs w:val="21"/>
              </w:rPr>
              <w:t>più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elevato </w:t>
            </w:r>
            <w:r w:rsidR="00ED6393">
              <w:rPr>
                <w:rFonts w:asciiTheme="minorHAnsi" w:hAnsiTheme="minorHAnsi" w:cstheme="minorHAnsi"/>
                <w:sz w:val="21"/>
                <w:szCs w:val="21"/>
              </w:rPr>
              <w:t>sono anche quelle con i più</w:t>
            </w:r>
            <w:r w:rsidR="00BC20DE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elevati indici di leva finanziaria</w:t>
            </w:r>
          </w:p>
        </w:tc>
        <w:tc>
          <w:tcPr>
            <w:tcW w:w="527" w:type="dxa"/>
          </w:tcPr>
          <w:p w14:paraId="0B90CC78" w14:textId="085034FF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4D00BF88" w14:textId="44E903AE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46F0ED14" w14:textId="77777777" w:rsidTr="006D6A9C">
        <w:trPr>
          <w:jc w:val="center"/>
        </w:trPr>
        <w:tc>
          <w:tcPr>
            <w:tcW w:w="9725" w:type="dxa"/>
          </w:tcPr>
          <w:p w14:paraId="677294D8" w14:textId="2EFCE29D" w:rsidR="00622069" w:rsidRPr="000E33EC" w:rsidRDefault="004843F1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Gli </w:t>
            </w:r>
            <w:r w:rsidR="006D6A9C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amministratori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dell’impresa non possono svolgere </w:t>
            </w:r>
            <w:r w:rsidR="00F418E2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anche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funzioni </w:t>
            </w:r>
            <w:r w:rsidR="00F418E2" w:rsidRPr="000E33EC">
              <w:rPr>
                <w:rFonts w:asciiTheme="minorHAnsi" w:hAnsiTheme="minorHAnsi" w:cstheme="minorHAnsi"/>
                <w:sz w:val="21"/>
                <w:szCs w:val="21"/>
              </w:rPr>
              <w:t>manage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riali</w:t>
            </w:r>
          </w:p>
        </w:tc>
        <w:tc>
          <w:tcPr>
            <w:tcW w:w="527" w:type="dxa"/>
          </w:tcPr>
          <w:p w14:paraId="31C503BA" w14:textId="01FFD5D2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E2CC791" w14:textId="3A3EF4C4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D6A9C" w:rsidRPr="000E33EC" w14:paraId="6B90D7A3" w14:textId="77777777" w:rsidTr="003479FB">
        <w:trPr>
          <w:jc w:val="center"/>
        </w:trPr>
        <w:tc>
          <w:tcPr>
            <w:tcW w:w="9725" w:type="dxa"/>
          </w:tcPr>
          <w:p w14:paraId="2EF4563D" w14:textId="03CF9F6B" w:rsidR="006D6A9C" w:rsidRPr="000E33EC" w:rsidRDefault="006D6A9C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Gli amministratori si dividono in dipendenti e indipendenti</w:t>
            </w:r>
          </w:p>
        </w:tc>
        <w:tc>
          <w:tcPr>
            <w:tcW w:w="527" w:type="dxa"/>
          </w:tcPr>
          <w:p w14:paraId="6E9D2704" w14:textId="77777777" w:rsidR="006D6A9C" w:rsidRPr="000E33EC" w:rsidRDefault="006D6A9C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1DEEC1E3" w14:textId="1C40D2C8" w:rsidR="006D6A9C" w:rsidRPr="000E33EC" w:rsidRDefault="00BC31EE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D6A9C" w:rsidRPr="000E33EC" w14:paraId="310A3B85" w14:textId="77777777" w:rsidTr="003479FB">
        <w:trPr>
          <w:jc w:val="center"/>
        </w:trPr>
        <w:tc>
          <w:tcPr>
            <w:tcW w:w="9725" w:type="dxa"/>
          </w:tcPr>
          <w:p w14:paraId="2EAD6E91" w14:textId="78AD7214" w:rsidR="006D6A9C" w:rsidRPr="000E33EC" w:rsidRDefault="006D6A9C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Gli amministratori si dividono in esecutivi e non esecutivi</w:t>
            </w:r>
          </w:p>
        </w:tc>
        <w:tc>
          <w:tcPr>
            <w:tcW w:w="527" w:type="dxa"/>
          </w:tcPr>
          <w:p w14:paraId="4E778F4F" w14:textId="7DE2F262" w:rsidR="006D6A9C" w:rsidRPr="000E33EC" w:rsidRDefault="00BC31EE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5BC1B359" w14:textId="77777777" w:rsidR="006D6A9C" w:rsidRPr="000E33EC" w:rsidRDefault="006D6A9C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6A9C" w:rsidRPr="000E33EC" w14:paraId="4AE154C6" w14:textId="77777777" w:rsidTr="006D6A9C">
        <w:trPr>
          <w:jc w:val="center"/>
        </w:trPr>
        <w:tc>
          <w:tcPr>
            <w:tcW w:w="9725" w:type="dxa"/>
          </w:tcPr>
          <w:p w14:paraId="627CF0C8" w14:textId="3ECBA6BC" w:rsidR="006D6A9C" w:rsidRPr="000E33EC" w:rsidRDefault="006D6A9C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L’amministratore delegato può essere anche un azionista dell’impresa, ma non vale il viceversa</w:t>
            </w:r>
          </w:p>
        </w:tc>
        <w:tc>
          <w:tcPr>
            <w:tcW w:w="527" w:type="dxa"/>
          </w:tcPr>
          <w:p w14:paraId="6E2E0737" w14:textId="77777777" w:rsidR="006D6A9C" w:rsidRPr="000E33EC" w:rsidRDefault="006D6A9C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76D7ABA8" w14:textId="06798E7E" w:rsidR="006D6A9C" w:rsidRPr="000E33EC" w:rsidRDefault="00BC31EE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D6A9C" w:rsidRPr="000E33EC" w14:paraId="245BE7F4" w14:textId="77777777" w:rsidTr="006D6A9C">
        <w:trPr>
          <w:jc w:val="center"/>
        </w:trPr>
        <w:tc>
          <w:tcPr>
            <w:tcW w:w="9725" w:type="dxa"/>
          </w:tcPr>
          <w:p w14:paraId="417E1CCD" w14:textId="5E4EC6EB" w:rsidR="006D6A9C" w:rsidRPr="000E33EC" w:rsidRDefault="00D85BA4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La durata dei debiti di fornitura va misurata rispetto ai costi di acquisto sia di beni che di servizi</w:t>
            </w:r>
          </w:p>
        </w:tc>
        <w:tc>
          <w:tcPr>
            <w:tcW w:w="527" w:type="dxa"/>
          </w:tcPr>
          <w:p w14:paraId="1E23BB64" w14:textId="005C390A" w:rsidR="006D6A9C" w:rsidRPr="000E33EC" w:rsidRDefault="00BC31EE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5BD8B9C7" w14:textId="77777777" w:rsidR="006D6A9C" w:rsidRPr="000E33EC" w:rsidRDefault="006D6A9C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6A9C" w:rsidRPr="000E33EC" w14:paraId="0758580A" w14:textId="77777777" w:rsidTr="006D6A9C">
        <w:trPr>
          <w:jc w:val="center"/>
        </w:trPr>
        <w:tc>
          <w:tcPr>
            <w:tcW w:w="9725" w:type="dxa"/>
          </w:tcPr>
          <w:p w14:paraId="74DE3B40" w14:textId="59F9A3EF" w:rsidR="006D6A9C" w:rsidRPr="000E33EC" w:rsidRDefault="00D85BA4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Non di rado, la </w:t>
            </w:r>
            <w:r w:rsidR="00481B90" w:rsidRPr="000E33EC">
              <w:rPr>
                <w:rFonts w:asciiTheme="minorHAnsi" w:hAnsiTheme="minorHAnsi" w:cstheme="minorHAnsi"/>
                <w:sz w:val="21"/>
                <w:szCs w:val="21"/>
              </w:rPr>
              <w:t>maggior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parte dei costi di servizi ha natura di costo fisso</w:t>
            </w:r>
          </w:p>
        </w:tc>
        <w:tc>
          <w:tcPr>
            <w:tcW w:w="527" w:type="dxa"/>
          </w:tcPr>
          <w:p w14:paraId="0C940E9F" w14:textId="6D04F020" w:rsidR="006D6A9C" w:rsidRPr="000E33EC" w:rsidRDefault="00BC31EE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701B3B8" w14:textId="77777777" w:rsidR="006D6A9C" w:rsidRPr="000E33EC" w:rsidRDefault="006D6A9C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6A9C" w:rsidRPr="000E33EC" w14:paraId="5D9FBA68" w14:textId="77777777" w:rsidTr="006D6A9C">
        <w:trPr>
          <w:jc w:val="center"/>
        </w:trPr>
        <w:tc>
          <w:tcPr>
            <w:tcW w:w="9725" w:type="dxa"/>
          </w:tcPr>
          <w:p w14:paraId="633621F7" w14:textId="4001E778" w:rsidR="006D6A9C" w:rsidRPr="000E33EC" w:rsidRDefault="00481B90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Il costo del lavoro corrisponde, normalmente, ad una % tra il 60 e il 90% del totale dei costi</w:t>
            </w:r>
          </w:p>
        </w:tc>
        <w:tc>
          <w:tcPr>
            <w:tcW w:w="527" w:type="dxa"/>
          </w:tcPr>
          <w:p w14:paraId="2EC1F29F" w14:textId="77777777" w:rsidR="006D6A9C" w:rsidRPr="000E33EC" w:rsidRDefault="006D6A9C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1859B32" w14:textId="717CDE01" w:rsidR="006D6A9C" w:rsidRPr="000E33EC" w:rsidRDefault="00BC31EE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D6A9C" w:rsidRPr="000E33EC" w14:paraId="2B0CDC92" w14:textId="77777777" w:rsidTr="006D6A9C">
        <w:trPr>
          <w:jc w:val="center"/>
        </w:trPr>
        <w:tc>
          <w:tcPr>
            <w:tcW w:w="9725" w:type="dxa"/>
          </w:tcPr>
          <w:p w14:paraId="7E08A422" w14:textId="0D8610C6" w:rsidR="006D6A9C" w:rsidRPr="000E33EC" w:rsidRDefault="00481B90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Il costo del venduto può comprendere ammortamenti e costi del lavoro, ma non necessariamente tutti gli ammortamenti e il costo del lavoro</w:t>
            </w:r>
          </w:p>
        </w:tc>
        <w:tc>
          <w:tcPr>
            <w:tcW w:w="527" w:type="dxa"/>
          </w:tcPr>
          <w:p w14:paraId="2C8D9507" w14:textId="5E5DC79E" w:rsidR="006D6A9C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4E9AFDF1" w14:textId="77777777" w:rsidR="006D6A9C" w:rsidRPr="000E33EC" w:rsidRDefault="006D6A9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6A9C" w:rsidRPr="000E33EC" w14:paraId="1154598F" w14:textId="77777777" w:rsidTr="006D6A9C">
        <w:trPr>
          <w:jc w:val="center"/>
        </w:trPr>
        <w:tc>
          <w:tcPr>
            <w:tcW w:w="9725" w:type="dxa"/>
          </w:tcPr>
          <w:p w14:paraId="7B08D850" w14:textId="1A540BBA" w:rsidR="006D6A9C" w:rsidRPr="000E33EC" w:rsidRDefault="00481B90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Non è detto che l’amministratore delegato faccia sempre parte del consiglio di amministrazione</w:t>
            </w:r>
          </w:p>
        </w:tc>
        <w:tc>
          <w:tcPr>
            <w:tcW w:w="527" w:type="dxa"/>
          </w:tcPr>
          <w:p w14:paraId="1D5F6BAE" w14:textId="77777777" w:rsidR="006D6A9C" w:rsidRPr="000E33EC" w:rsidRDefault="006D6A9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70B2AAEE" w14:textId="4EBFF0F5" w:rsidR="006D6A9C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D6A9C" w:rsidRPr="000E33EC" w14:paraId="5F9033C7" w14:textId="77777777" w:rsidTr="006D6A9C">
        <w:trPr>
          <w:jc w:val="center"/>
        </w:trPr>
        <w:tc>
          <w:tcPr>
            <w:tcW w:w="9725" w:type="dxa"/>
          </w:tcPr>
          <w:p w14:paraId="6209265C" w14:textId="6F0D6E8F" w:rsidR="006D6A9C" w:rsidRPr="000E33EC" w:rsidRDefault="00D3247A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Una società per azioni è una forma di </w:t>
            </w:r>
            <w:r w:rsidR="002B57BF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impresa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esercitata in forma collettiva</w:t>
            </w:r>
            <w:r w:rsidR="00855838" w:rsidRPr="000E33EC">
              <w:rPr>
                <w:rFonts w:asciiTheme="minorHAnsi" w:hAnsiTheme="minorHAnsi" w:cstheme="minorHAnsi"/>
                <w:sz w:val="21"/>
                <w:szCs w:val="21"/>
              </w:rPr>
              <w:t>, come lo è una società cooperativa</w:t>
            </w:r>
          </w:p>
        </w:tc>
        <w:tc>
          <w:tcPr>
            <w:tcW w:w="527" w:type="dxa"/>
          </w:tcPr>
          <w:p w14:paraId="14117948" w14:textId="348BCACF" w:rsidR="006D6A9C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7D667B2C" w14:textId="77777777" w:rsidR="006D6A9C" w:rsidRPr="000E33EC" w:rsidRDefault="006D6A9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6A9C" w:rsidRPr="000E33EC" w14:paraId="7C388103" w14:textId="77777777" w:rsidTr="006D6A9C">
        <w:trPr>
          <w:jc w:val="center"/>
        </w:trPr>
        <w:tc>
          <w:tcPr>
            <w:tcW w:w="9725" w:type="dxa"/>
          </w:tcPr>
          <w:p w14:paraId="65DE38A5" w14:textId="5FE82279" w:rsidR="006D6A9C" w:rsidRPr="000E33EC" w:rsidRDefault="00A07583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Quando un’impresa raggiunge il break-even si dice che ha raggiunto la massima efficienza ed efficacia </w:t>
            </w:r>
          </w:p>
        </w:tc>
        <w:tc>
          <w:tcPr>
            <w:tcW w:w="527" w:type="dxa"/>
          </w:tcPr>
          <w:p w14:paraId="19300C9A" w14:textId="77777777" w:rsidR="006D6A9C" w:rsidRPr="000E33EC" w:rsidRDefault="006D6A9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36030AE" w14:textId="71F03EF0" w:rsidR="006D6A9C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37212B41" w14:textId="77777777" w:rsidTr="006D6A9C">
        <w:trPr>
          <w:jc w:val="center"/>
        </w:trPr>
        <w:tc>
          <w:tcPr>
            <w:tcW w:w="9725" w:type="dxa"/>
          </w:tcPr>
          <w:p w14:paraId="23C3E538" w14:textId="6DA176DF" w:rsidR="00622069" w:rsidRPr="000E33EC" w:rsidRDefault="00A25A16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Costi di </w:t>
            </w:r>
            <w:proofErr w:type="spellStart"/>
            <w:r w:rsidR="004843F1" w:rsidRPr="000E33EC">
              <w:rPr>
                <w:rFonts w:asciiTheme="minorHAnsi" w:hAnsiTheme="minorHAnsi" w:cstheme="minorHAnsi"/>
                <w:sz w:val="21"/>
                <w:szCs w:val="21"/>
              </w:rPr>
              <w:t>switching</w:t>
            </w:r>
            <w:proofErr w:type="spellEnd"/>
            <w:r w:rsidR="004843F1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elevati riducono il potere degli acquirenti </w:t>
            </w:r>
          </w:p>
        </w:tc>
        <w:tc>
          <w:tcPr>
            <w:tcW w:w="527" w:type="dxa"/>
          </w:tcPr>
          <w:p w14:paraId="2D3D5DBA" w14:textId="28AB71ED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6416DE2" w14:textId="1021EA9A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32B12FD9" w14:textId="77777777" w:rsidTr="006D6A9C">
        <w:trPr>
          <w:jc w:val="center"/>
        </w:trPr>
        <w:tc>
          <w:tcPr>
            <w:tcW w:w="9725" w:type="dxa"/>
          </w:tcPr>
          <w:p w14:paraId="0E852047" w14:textId="2A5977E7" w:rsidR="00622069" w:rsidRPr="000E33EC" w:rsidRDefault="00A25A16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 flussi di cassa operativi possono essere sia inferiori che superiori all’EBITDA  </w:t>
            </w:r>
          </w:p>
        </w:tc>
        <w:tc>
          <w:tcPr>
            <w:tcW w:w="527" w:type="dxa"/>
          </w:tcPr>
          <w:p w14:paraId="2433F818" w14:textId="543E6AF0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78C18250" w14:textId="420E427A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2A8B7FAF" w14:textId="77777777" w:rsidTr="006D6A9C">
        <w:trPr>
          <w:jc w:val="center"/>
        </w:trPr>
        <w:tc>
          <w:tcPr>
            <w:tcW w:w="9725" w:type="dxa"/>
          </w:tcPr>
          <w:p w14:paraId="52856A2D" w14:textId="6AD25969" w:rsidR="00622069" w:rsidRPr="000E33EC" w:rsidRDefault="004D0F7C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A parità di costi e ricavi, la misura dell’EBITDA non dipende dalla durata del ciclo monetario; i flussi di cassa operativi invece sì</w:t>
            </w:r>
          </w:p>
        </w:tc>
        <w:tc>
          <w:tcPr>
            <w:tcW w:w="527" w:type="dxa"/>
          </w:tcPr>
          <w:p w14:paraId="63473216" w14:textId="79994ADB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3D596BDB" w14:textId="77777777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5CD70834" w14:textId="77777777" w:rsidTr="006D6A9C">
        <w:trPr>
          <w:jc w:val="center"/>
        </w:trPr>
        <w:tc>
          <w:tcPr>
            <w:tcW w:w="9725" w:type="dxa"/>
          </w:tcPr>
          <w:p w14:paraId="44AE2F38" w14:textId="4E2A3D41" w:rsidR="00622069" w:rsidRPr="000E33EC" w:rsidRDefault="00B0374A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La competitività, </w:t>
            </w:r>
            <w:r w:rsidR="004C05BC" w:rsidRPr="000E33EC">
              <w:rPr>
                <w:rFonts w:asciiTheme="minorHAnsi" w:hAnsiTheme="minorHAnsi" w:cstheme="minorHAnsi"/>
                <w:sz w:val="21"/>
                <w:szCs w:val="21"/>
              </w:rPr>
              <w:t>non di rado, è una funzione crescente della dimensione d’impresa</w:t>
            </w:r>
          </w:p>
        </w:tc>
        <w:tc>
          <w:tcPr>
            <w:tcW w:w="527" w:type="dxa"/>
          </w:tcPr>
          <w:p w14:paraId="69565E98" w14:textId="08D9B351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3177D299" w14:textId="34157CB1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4824817C" w14:textId="77777777" w:rsidTr="006D6A9C">
        <w:trPr>
          <w:jc w:val="center"/>
        </w:trPr>
        <w:tc>
          <w:tcPr>
            <w:tcW w:w="9725" w:type="dxa"/>
          </w:tcPr>
          <w:p w14:paraId="40629DD0" w14:textId="4C8F0CB1" w:rsidR="00622069" w:rsidRPr="000E33EC" w:rsidRDefault="004C05BC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Per un’impresa che vende al dettaglio, l</w:t>
            </w:r>
            <w:r w:rsidR="00B86068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’aumento della rotazione delle scorte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di prodotti finiti può avere effetti negativi sul servizio alla clientela </w:t>
            </w:r>
          </w:p>
        </w:tc>
        <w:tc>
          <w:tcPr>
            <w:tcW w:w="527" w:type="dxa"/>
          </w:tcPr>
          <w:p w14:paraId="224D161F" w14:textId="22C0D25D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025669C6" w14:textId="1546B5EC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745A6CA5" w14:textId="77777777" w:rsidTr="006D6A9C">
        <w:trPr>
          <w:jc w:val="center"/>
        </w:trPr>
        <w:tc>
          <w:tcPr>
            <w:tcW w:w="9725" w:type="dxa"/>
          </w:tcPr>
          <w:p w14:paraId="3B884080" w14:textId="0F99F198" w:rsidR="00622069" w:rsidRPr="000E33EC" w:rsidRDefault="004C05BC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L</w:t>
            </w:r>
            <w:r w:rsidR="00E93D4C" w:rsidRPr="000E33EC">
              <w:rPr>
                <w:rFonts w:asciiTheme="minorHAnsi" w:hAnsiTheme="minorHAnsi" w:cstheme="minorHAnsi"/>
                <w:sz w:val="21"/>
                <w:szCs w:val="21"/>
              </w:rPr>
              <w:t>eva operativa e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d </w:t>
            </w:r>
            <w:r w:rsidR="00E93D4C" w:rsidRPr="000E33EC">
              <w:rPr>
                <w:rFonts w:asciiTheme="minorHAnsi" w:hAnsiTheme="minorHAnsi" w:cstheme="minorHAnsi"/>
                <w:sz w:val="21"/>
                <w:szCs w:val="21"/>
              </w:rPr>
              <w:t>elasticità dei costi possono</w:t>
            </w:r>
            <w:r w:rsidR="006043D2" w:rsidRPr="000E33EC">
              <w:rPr>
                <w:rFonts w:asciiTheme="minorHAnsi" w:hAnsiTheme="minorHAnsi" w:cstheme="minorHAnsi"/>
                <w:sz w:val="21"/>
                <w:szCs w:val="21"/>
              </w:rPr>
              <w:t>, in precise circostanze, essere l’uno il reciproco dell’altro</w:t>
            </w:r>
          </w:p>
        </w:tc>
        <w:tc>
          <w:tcPr>
            <w:tcW w:w="527" w:type="dxa"/>
          </w:tcPr>
          <w:p w14:paraId="751F3FCB" w14:textId="5A530C81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4ADF5205" w14:textId="143E8772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7D2A0AE9" w14:textId="77777777" w:rsidTr="006D6A9C">
        <w:trPr>
          <w:jc w:val="center"/>
        </w:trPr>
        <w:tc>
          <w:tcPr>
            <w:tcW w:w="9725" w:type="dxa"/>
          </w:tcPr>
          <w:p w14:paraId="4C06E62F" w14:textId="1F00F906" w:rsidR="00622069" w:rsidRPr="000E33EC" w:rsidRDefault="006757FF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Un</w:t>
            </w:r>
            <w:r w:rsidR="00ED639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Equity</w:t>
            </w:r>
            <w:proofErr w:type="spellEnd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concentrato </w:t>
            </w:r>
            <w:r w:rsidR="00ED6393">
              <w:rPr>
                <w:rFonts w:asciiTheme="minorHAnsi" w:hAnsiTheme="minorHAnsi" w:cstheme="minorHAnsi"/>
                <w:sz w:val="21"/>
                <w:szCs w:val="21"/>
              </w:rPr>
              <w:t xml:space="preserve">nelle mani di pochi azionisti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può essere associato a bassi</w:t>
            </w:r>
            <w:r w:rsidR="00942A8C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46BB9" w:rsidRPr="000E33EC">
              <w:rPr>
                <w:rFonts w:asciiTheme="minorHAnsi" w:hAnsiTheme="minorHAnsi" w:cstheme="minorHAnsi"/>
                <w:sz w:val="21"/>
                <w:szCs w:val="21"/>
              </w:rPr>
              <w:t>costi di agenzia</w:t>
            </w:r>
          </w:p>
        </w:tc>
        <w:tc>
          <w:tcPr>
            <w:tcW w:w="527" w:type="dxa"/>
          </w:tcPr>
          <w:p w14:paraId="3FB976CF" w14:textId="3F139F15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490FC5F4" w14:textId="48AAFA42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3E166921" w14:textId="77777777" w:rsidTr="006D6A9C">
        <w:trPr>
          <w:jc w:val="center"/>
        </w:trPr>
        <w:tc>
          <w:tcPr>
            <w:tcW w:w="9725" w:type="dxa"/>
          </w:tcPr>
          <w:p w14:paraId="50F194B7" w14:textId="5A3DDF51" w:rsidR="00622069" w:rsidRPr="000E33EC" w:rsidRDefault="00546BB9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La</w:t>
            </w:r>
            <w:r w:rsidR="0062206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622069" w:rsidRPr="000E33EC">
              <w:rPr>
                <w:rFonts w:asciiTheme="minorHAnsi" w:hAnsiTheme="minorHAnsi" w:cstheme="minorHAnsi"/>
                <w:sz w:val="21"/>
                <w:szCs w:val="21"/>
              </w:rPr>
              <w:t>value</w:t>
            </w:r>
            <w:proofErr w:type="spellEnd"/>
            <w:r w:rsidR="0062206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622069" w:rsidRPr="000E33EC">
              <w:rPr>
                <w:rFonts w:asciiTheme="minorHAnsi" w:hAnsiTheme="minorHAnsi" w:cstheme="minorHAnsi"/>
                <w:sz w:val="21"/>
                <w:szCs w:val="21"/>
              </w:rPr>
              <w:t>proposition</w:t>
            </w:r>
            <w:proofErr w:type="spellEnd"/>
            <w:r w:rsidR="0062206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di un’impres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="006757FF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dovrebbe essere </w:t>
            </w:r>
            <w:r w:rsidR="00ED6393">
              <w:rPr>
                <w:rFonts w:asciiTheme="minorHAnsi" w:hAnsiTheme="minorHAnsi" w:cstheme="minorHAnsi"/>
                <w:sz w:val="21"/>
                <w:szCs w:val="21"/>
              </w:rPr>
              <w:t xml:space="preserve">definita </w:t>
            </w:r>
            <w:r w:rsidR="006757FF" w:rsidRPr="000E33EC">
              <w:rPr>
                <w:rFonts w:asciiTheme="minorHAnsi" w:hAnsiTheme="minorHAnsi" w:cstheme="minorHAnsi"/>
                <w:sz w:val="21"/>
                <w:szCs w:val="21"/>
              </w:rPr>
              <w:t>indipendente</w:t>
            </w:r>
            <w:r w:rsidR="00ED6393">
              <w:rPr>
                <w:rFonts w:asciiTheme="minorHAnsi" w:hAnsiTheme="minorHAnsi" w:cstheme="minorHAnsi"/>
                <w:sz w:val="21"/>
                <w:szCs w:val="21"/>
              </w:rPr>
              <w:t>mente</w:t>
            </w:r>
            <w:r w:rsidR="006757FF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dalla tipologia di clienti a cui viene rivolta</w:t>
            </w:r>
          </w:p>
        </w:tc>
        <w:tc>
          <w:tcPr>
            <w:tcW w:w="527" w:type="dxa"/>
          </w:tcPr>
          <w:p w14:paraId="5EE304EC" w14:textId="297657DD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4640C6C6" w14:textId="6ECAC9E2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7F287F00" w14:textId="77777777" w:rsidTr="006D6A9C">
        <w:trPr>
          <w:jc w:val="center"/>
        </w:trPr>
        <w:tc>
          <w:tcPr>
            <w:tcW w:w="9725" w:type="dxa"/>
          </w:tcPr>
          <w:p w14:paraId="7CCBF099" w14:textId="6D50AA82" w:rsidR="00622069" w:rsidRPr="000E33EC" w:rsidRDefault="00ED1E6C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Costi fissi elevati, specialmente nella forma di costi affondati, possono indurre gli </w:t>
            </w: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incumbent</w:t>
            </w:r>
            <w:proofErr w:type="spellEnd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ad abbassare i prezzi sotto i costi medi unitari per scoraggiare l’ingresso nel settore di nuovi entranti</w:t>
            </w:r>
          </w:p>
        </w:tc>
        <w:tc>
          <w:tcPr>
            <w:tcW w:w="527" w:type="dxa"/>
          </w:tcPr>
          <w:p w14:paraId="36DA2714" w14:textId="74AFDA76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6A19E9BA" w14:textId="3B92112E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397A00D3" w14:textId="77777777" w:rsidTr="006D6A9C">
        <w:trPr>
          <w:jc w:val="center"/>
        </w:trPr>
        <w:tc>
          <w:tcPr>
            <w:tcW w:w="9725" w:type="dxa"/>
          </w:tcPr>
          <w:p w14:paraId="4F9D1B8F" w14:textId="7A50F39C" w:rsidR="00622069" w:rsidRPr="000E33EC" w:rsidRDefault="002823BA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 settori </w:t>
            </w:r>
            <w:r w:rsidR="00ED1E6C" w:rsidRPr="000E33EC">
              <w:rPr>
                <w:rFonts w:asciiTheme="minorHAnsi" w:hAnsiTheme="minorHAnsi" w:cstheme="minorHAnsi"/>
                <w:sz w:val="21"/>
                <w:szCs w:val="21"/>
              </w:rPr>
              <w:t>più redditi</w:t>
            </w:r>
            <w:r w:rsidR="00924C1C">
              <w:rPr>
                <w:rFonts w:asciiTheme="minorHAnsi" w:hAnsiTheme="minorHAnsi" w:cstheme="minorHAnsi"/>
                <w:sz w:val="21"/>
                <w:szCs w:val="21"/>
              </w:rPr>
              <w:t xml:space="preserve">vità operativa (ROIC) </w:t>
            </w:r>
            <w:r w:rsidR="00ED1E6C" w:rsidRPr="000E33EC">
              <w:rPr>
                <w:rFonts w:asciiTheme="minorHAnsi" w:hAnsiTheme="minorHAnsi" w:cstheme="minorHAnsi"/>
                <w:sz w:val="21"/>
                <w:szCs w:val="21"/>
              </w:rPr>
              <w:t>sono quelli con un maggiore grado di integrazione verticale</w:t>
            </w:r>
          </w:p>
        </w:tc>
        <w:tc>
          <w:tcPr>
            <w:tcW w:w="527" w:type="dxa"/>
          </w:tcPr>
          <w:p w14:paraId="593720D4" w14:textId="1ED1B14E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32F343BA" w14:textId="195CC859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6086F6AB" w14:textId="77777777" w:rsidTr="006D6A9C">
        <w:trPr>
          <w:jc w:val="center"/>
        </w:trPr>
        <w:tc>
          <w:tcPr>
            <w:tcW w:w="9725" w:type="dxa"/>
          </w:tcPr>
          <w:p w14:paraId="187E78B8" w14:textId="7B70B6E0" w:rsidR="00622069" w:rsidRPr="000E33EC" w:rsidRDefault="00596492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</w:t>
            </w:r>
            <w:r w:rsidR="003000A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ifferenze di ROIC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dipendono solo dalla struttura del settore, non dalle scelte manageriali</w:t>
            </w:r>
          </w:p>
        </w:tc>
        <w:tc>
          <w:tcPr>
            <w:tcW w:w="527" w:type="dxa"/>
          </w:tcPr>
          <w:p w14:paraId="46E9EB0F" w14:textId="6D8BBF0C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16EB6B7A" w14:textId="177EABF7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31ADF883" w14:textId="77777777" w:rsidTr="006D6A9C">
        <w:trPr>
          <w:jc w:val="center"/>
        </w:trPr>
        <w:tc>
          <w:tcPr>
            <w:tcW w:w="9725" w:type="dxa"/>
          </w:tcPr>
          <w:p w14:paraId="34B1E5AC" w14:textId="3EF69EBB" w:rsidR="00622069" w:rsidRPr="000E33EC" w:rsidRDefault="00DF0BFB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L</w:t>
            </w:r>
            <w:r w:rsidR="00596492" w:rsidRPr="000E33EC">
              <w:rPr>
                <w:rFonts w:asciiTheme="minorHAnsi" w:hAnsiTheme="minorHAnsi" w:cstheme="minorHAnsi"/>
                <w:sz w:val="21"/>
                <w:szCs w:val="21"/>
              </w:rPr>
              <w:t>a ricerca di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economie di scopo </w:t>
            </w:r>
            <w:r w:rsidR="00596492" w:rsidRPr="000E33EC">
              <w:rPr>
                <w:rFonts w:asciiTheme="minorHAnsi" w:hAnsiTheme="minorHAnsi" w:cstheme="minorHAnsi"/>
                <w:sz w:val="21"/>
                <w:szCs w:val="21"/>
              </w:rPr>
              <w:t>può orientare le scelte di diversificazione delle imprese</w:t>
            </w:r>
          </w:p>
        </w:tc>
        <w:tc>
          <w:tcPr>
            <w:tcW w:w="527" w:type="dxa"/>
          </w:tcPr>
          <w:p w14:paraId="27C4D260" w14:textId="7197EDF5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44C76D03" w14:textId="367FF3B9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17634B63" w14:textId="77777777" w:rsidTr="006D6A9C">
        <w:trPr>
          <w:jc w:val="center"/>
        </w:trPr>
        <w:tc>
          <w:tcPr>
            <w:tcW w:w="9725" w:type="dxa"/>
          </w:tcPr>
          <w:p w14:paraId="7A238D0F" w14:textId="33153F7E" w:rsidR="00622069" w:rsidRPr="000E33EC" w:rsidRDefault="00924C1C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Per realizzare la</w:t>
            </w:r>
            <w:r w:rsidR="00596492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differenziazione dell’offerta sul piano competitivo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è necessario avere</w:t>
            </w:r>
            <w:r w:rsidR="00596492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anche un portafoglio prodotti altamente diversificato</w:t>
            </w:r>
          </w:p>
        </w:tc>
        <w:tc>
          <w:tcPr>
            <w:tcW w:w="527" w:type="dxa"/>
          </w:tcPr>
          <w:p w14:paraId="40E75FA0" w14:textId="65B5D2B3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074C5B9D" w14:textId="6C90B7ED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0A8C0FE0" w14:textId="77777777" w:rsidTr="006D6A9C">
        <w:trPr>
          <w:jc w:val="center"/>
        </w:trPr>
        <w:tc>
          <w:tcPr>
            <w:tcW w:w="9725" w:type="dxa"/>
          </w:tcPr>
          <w:p w14:paraId="574FD507" w14:textId="5A45D02A" w:rsidR="00622069" w:rsidRPr="000E33EC" w:rsidRDefault="001D35AA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Valore Aggiunto </w:t>
            </w:r>
            <w:r w:rsidR="00924C1C">
              <w:rPr>
                <w:rFonts w:asciiTheme="minorHAnsi" w:hAnsiTheme="minorHAnsi" w:cstheme="minorHAnsi"/>
                <w:sz w:val="21"/>
                <w:szCs w:val="21"/>
              </w:rPr>
              <w:t xml:space="preserve">/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Valore della Produzione </w:t>
            </w:r>
            <w:r w:rsidR="005D451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e Fatturato </w:t>
            </w:r>
            <w:r w:rsidR="00924C1C">
              <w:rPr>
                <w:rFonts w:asciiTheme="minorHAnsi" w:hAnsiTheme="minorHAnsi" w:cstheme="minorHAnsi"/>
                <w:sz w:val="21"/>
                <w:szCs w:val="21"/>
              </w:rPr>
              <w:t>/ A</w:t>
            </w:r>
            <w:r w:rsidR="005D4519" w:rsidRPr="000E33EC">
              <w:rPr>
                <w:rFonts w:asciiTheme="minorHAnsi" w:hAnsiTheme="minorHAnsi" w:cstheme="minorHAnsi"/>
                <w:sz w:val="21"/>
                <w:szCs w:val="21"/>
              </w:rPr>
              <w:t>ddett</w:t>
            </w:r>
            <w:r w:rsidR="00924C1C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="005D451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24C1C">
              <w:rPr>
                <w:rFonts w:asciiTheme="minorHAnsi" w:hAnsiTheme="minorHAnsi" w:cstheme="minorHAnsi"/>
                <w:sz w:val="21"/>
                <w:szCs w:val="21"/>
              </w:rPr>
              <w:t xml:space="preserve">sono parametri </w:t>
            </w:r>
            <w:r w:rsidR="005D4519" w:rsidRPr="000E33EC">
              <w:rPr>
                <w:rFonts w:asciiTheme="minorHAnsi" w:hAnsiTheme="minorHAnsi" w:cstheme="minorHAnsi"/>
                <w:sz w:val="21"/>
                <w:szCs w:val="21"/>
              </w:rPr>
              <w:t>non correlati tra loro</w:t>
            </w:r>
          </w:p>
        </w:tc>
        <w:tc>
          <w:tcPr>
            <w:tcW w:w="527" w:type="dxa"/>
          </w:tcPr>
          <w:p w14:paraId="2CAC52FF" w14:textId="77777777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9F8D83A" w14:textId="06ECFCE8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361FF8C2" w14:textId="77777777" w:rsidTr="006D6A9C">
        <w:trPr>
          <w:jc w:val="center"/>
        </w:trPr>
        <w:tc>
          <w:tcPr>
            <w:tcW w:w="9725" w:type="dxa"/>
          </w:tcPr>
          <w:p w14:paraId="3A49BFF2" w14:textId="15320BC7" w:rsidR="00622069" w:rsidRPr="000E33EC" w:rsidRDefault="00B159B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Il</w:t>
            </w:r>
            <w:r w:rsidR="0062206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622069" w:rsidRPr="000E33EC">
              <w:rPr>
                <w:rFonts w:asciiTheme="minorHAnsi" w:hAnsiTheme="minorHAnsi" w:cstheme="minorHAnsi"/>
                <w:sz w:val="21"/>
                <w:szCs w:val="21"/>
              </w:rPr>
              <w:t>revenue</w:t>
            </w:r>
            <w:proofErr w:type="spellEnd"/>
            <w:r w:rsidR="0062206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management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61296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si realizza </w:t>
            </w:r>
            <w:r w:rsidR="00924C1C">
              <w:rPr>
                <w:rFonts w:asciiTheme="minorHAnsi" w:hAnsiTheme="minorHAnsi" w:cstheme="minorHAnsi"/>
                <w:sz w:val="21"/>
                <w:szCs w:val="21"/>
              </w:rPr>
              <w:t>praticando</w:t>
            </w:r>
            <w:r w:rsidR="00924C1C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prezzi di vendita </w:t>
            </w:r>
            <w:r w:rsidR="00924C1C">
              <w:rPr>
                <w:rFonts w:asciiTheme="minorHAnsi" w:hAnsiTheme="minorHAnsi" w:cstheme="minorHAnsi"/>
                <w:sz w:val="21"/>
                <w:szCs w:val="21"/>
              </w:rPr>
              <w:t xml:space="preserve">ottenuti </w:t>
            </w:r>
            <w:r w:rsidR="00761296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applicando un </w:t>
            </w:r>
            <w:proofErr w:type="spellStart"/>
            <w:r w:rsidR="00761296" w:rsidRPr="000E33EC">
              <w:rPr>
                <w:rFonts w:asciiTheme="minorHAnsi" w:hAnsiTheme="minorHAnsi" w:cstheme="minorHAnsi"/>
                <w:sz w:val="21"/>
                <w:szCs w:val="21"/>
              </w:rPr>
              <w:t>mark</w:t>
            </w:r>
            <w:proofErr w:type="spellEnd"/>
            <w:r w:rsidR="00761296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-up costante sui costi variabili </w:t>
            </w:r>
          </w:p>
        </w:tc>
        <w:tc>
          <w:tcPr>
            <w:tcW w:w="527" w:type="dxa"/>
          </w:tcPr>
          <w:p w14:paraId="3A5569E7" w14:textId="77777777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79CC853A" w14:textId="4CAF02DB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63557BFB" w14:textId="77777777" w:rsidTr="006D6A9C">
        <w:trPr>
          <w:jc w:val="center"/>
        </w:trPr>
        <w:tc>
          <w:tcPr>
            <w:tcW w:w="9725" w:type="dxa"/>
          </w:tcPr>
          <w:p w14:paraId="0396F988" w14:textId="3BFA9CBF" w:rsidR="00622069" w:rsidRPr="000E33EC" w:rsidRDefault="00B159B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La quotazione in Borsa </w:t>
            </w:r>
            <w:r w:rsidR="00761296" w:rsidRPr="000E33EC">
              <w:rPr>
                <w:rFonts w:asciiTheme="minorHAnsi" w:hAnsiTheme="minorHAnsi" w:cstheme="minorHAnsi"/>
                <w:sz w:val="21"/>
                <w:szCs w:val="21"/>
              </w:rPr>
              <w:t>non si fa per abbassare il WACC, ma per aumentare il ROIC</w:t>
            </w:r>
          </w:p>
        </w:tc>
        <w:tc>
          <w:tcPr>
            <w:tcW w:w="527" w:type="dxa"/>
          </w:tcPr>
          <w:p w14:paraId="51EF7BB8" w14:textId="16CD0DCB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B6A2D37" w14:textId="710D7CB3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28574220" w14:textId="77777777" w:rsidTr="006D6A9C">
        <w:trPr>
          <w:jc w:val="center"/>
        </w:trPr>
        <w:tc>
          <w:tcPr>
            <w:tcW w:w="9725" w:type="dxa"/>
          </w:tcPr>
          <w:p w14:paraId="618246B1" w14:textId="20832D72" w:rsidR="00622069" w:rsidRPr="000E33EC" w:rsidRDefault="00761296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Quando la domanda è incerta, </w:t>
            </w:r>
            <w:r w:rsidR="00DD65AC" w:rsidRPr="000E33EC">
              <w:rPr>
                <w:rFonts w:asciiTheme="minorHAnsi" w:hAnsiTheme="minorHAnsi" w:cstheme="minorHAnsi"/>
                <w:sz w:val="21"/>
                <w:szCs w:val="21"/>
              </w:rPr>
              <w:t>può essere preferibile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avere un</w:t>
            </w:r>
            <w:r w:rsidR="00924C1C">
              <w:rPr>
                <w:rFonts w:asciiTheme="minorHAnsi" w:hAnsiTheme="minorHAnsi" w:cstheme="minorHAnsi"/>
                <w:sz w:val="21"/>
                <w:szCs w:val="21"/>
              </w:rPr>
              <w:t>’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alta elasticità dei costi</w:t>
            </w:r>
          </w:p>
        </w:tc>
        <w:tc>
          <w:tcPr>
            <w:tcW w:w="527" w:type="dxa"/>
          </w:tcPr>
          <w:p w14:paraId="5DDECD77" w14:textId="2D75C382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477D2DEA" w14:textId="298D66E7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530BA85F" w14:textId="77777777" w:rsidTr="006D6A9C">
        <w:trPr>
          <w:jc w:val="center"/>
        </w:trPr>
        <w:tc>
          <w:tcPr>
            <w:tcW w:w="9725" w:type="dxa"/>
          </w:tcPr>
          <w:p w14:paraId="3690907B" w14:textId="2F27A473" w:rsidR="00622069" w:rsidRPr="000E33EC" w:rsidRDefault="005C70C7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I manager</w:t>
            </w:r>
            <w:r w:rsidR="00761296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possono avere interessi in conflitto con quelli degli azionisti</w:t>
            </w:r>
            <w:r w:rsidR="002A558E" w:rsidRPr="000E33EC">
              <w:rPr>
                <w:rFonts w:asciiTheme="minorHAnsi" w:hAnsiTheme="minorHAnsi" w:cstheme="minorHAnsi"/>
                <w:sz w:val="21"/>
                <w:szCs w:val="21"/>
              </w:rPr>
              <w:t>, il che genera costi di agenzia</w:t>
            </w:r>
            <w:r w:rsidR="00761296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27" w:type="dxa"/>
          </w:tcPr>
          <w:p w14:paraId="630383C4" w14:textId="19DA1C09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18E2E22D" w14:textId="5F9835DB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1B43EE0D" w14:textId="77777777" w:rsidTr="006D6A9C">
        <w:trPr>
          <w:jc w:val="center"/>
        </w:trPr>
        <w:tc>
          <w:tcPr>
            <w:tcW w:w="9725" w:type="dxa"/>
          </w:tcPr>
          <w:p w14:paraId="01471E0E" w14:textId="0465C696" w:rsidR="00622069" w:rsidRPr="000E33EC" w:rsidRDefault="002A558E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Le</w:t>
            </w:r>
            <w:r w:rsidR="0062206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grandi imprese in Germania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attribuiscono ai lavoratori e ai loro rappresentanti anche funzioni di </w:t>
            </w: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governance</w:t>
            </w:r>
            <w:proofErr w:type="spellEnd"/>
          </w:p>
        </w:tc>
        <w:tc>
          <w:tcPr>
            <w:tcW w:w="527" w:type="dxa"/>
          </w:tcPr>
          <w:p w14:paraId="2058B4E3" w14:textId="5F723586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06202BFB" w14:textId="6D5704D2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4B55E046" w14:textId="77777777" w:rsidTr="006D6A9C">
        <w:trPr>
          <w:jc w:val="center"/>
        </w:trPr>
        <w:tc>
          <w:tcPr>
            <w:tcW w:w="9725" w:type="dxa"/>
          </w:tcPr>
          <w:p w14:paraId="18102ADA" w14:textId="10EE4217" w:rsidR="00622069" w:rsidRPr="000E33EC" w:rsidRDefault="00622069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Nel modello della “stakeholder </w:t>
            </w: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salience</w:t>
            </w:r>
            <w:proofErr w:type="spellEnd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”</w:t>
            </w:r>
            <w:r w:rsidR="00675826" w:rsidRPr="000E33EC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A209A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gli stakeholder </w:t>
            </w:r>
            <w:r w:rsidR="002A558E" w:rsidRPr="000E33EC">
              <w:rPr>
                <w:rFonts w:asciiTheme="minorHAnsi" w:hAnsiTheme="minorHAnsi" w:cstheme="minorHAnsi"/>
                <w:sz w:val="21"/>
                <w:szCs w:val="21"/>
              </w:rPr>
              <w:t>meno problematici hanno basso potere, bassa legittimazione e istanze poco urgenti</w:t>
            </w:r>
          </w:p>
        </w:tc>
        <w:tc>
          <w:tcPr>
            <w:tcW w:w="527" w:type="dxa"/>
          </w:tcPr>
          <w:p w14:paraId="3F4898EB" w14:textId="3B7C2E9F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5F1F358A" w14:textId="3E60EC91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263F34BE" w14:textId="77777777" w:rsidTr="006D6A9C">
        <w:trPr>
          <w:jc w:val="center"/>
        </w:trPr>
        <w:tc>
          <w:tcPr>
            <w:tcW w:w="9725" w:type="dxa"/>
          </w:tcPr>
          <w:p w14:paraId="3889C1E9" w14:textId="4513A444" w:rsidR="00622069" w:rsidRPr="000E33EC" w:rsidRDefault="00675826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Le barriere all’uscita </w:t>
            </w:r>
            <w:r w:rsidR="00B06DCC" w:rsidRPr="000E33EC">
              <w:rPr>
                <w:rFonts w:asciiTheme="minorHAnsi" w:hAnsiTheme="minorHAnsi" w:cstheme="minorHAnsi"/>
                <w:sz w:val="21"/>
                <w:szCs w:val="21"/>
              </w:rPr>
              <w:t>dipendono</w:t>
            </w:r>
            <w:r w:rsidR="004F1E05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anche dagli investimenti </w:t>
            </w:r>
            <w:r w:rsidR="00B06DCC" w:rsidRPr="000E33EC">
              <w:rPr>
                <w:rFonts w:asciiTheme="minorHAnsi" w:hAnsiTheme="minorHAnsi" w:cstheme="minorHAnsi"/>
                <w:sz w:val="21"/>
                <w:szCs w:val="21"/>
              </w:rPr>
              <w:t>già sostenuti</w:t>
            </w:r>
            <w:r w:rsidR="004F1E05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dall’</w:t>
            </w:r>
            <w:proofErr w:type="spellStart"/>
            <w:r w:rsidR="004F1E05" w:rsidRPr="000E33EC">
              <w:rPr>
                <w:rFonts w:asciiTheme="minorHAnsi" w:hAnsiTheme="minorHAnsi" w:cstheme="minorHAnsi"/>
                <w:sz w:val="21"/>
                <w:szCs w:val="21"/>
              </w:rPr>
              <w:t>incumbent</w:t>
            </w:r>
            <w:proofErr w:type="spellEnd"/>
            <w:r w:rsidR="00B06DCC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, specialmente quando questi investimenti non si possono </w:t>
            </w:r>
            <w:r w:rsidR="00924C1C">
              <w:rPr>
                <w:rFonts w:asciiTheme="minorHAnsi" w:hAnsiTheme="minorHAnsi" w:cstheme="minorHAnsi"/>
                <w:sz w:val="21"/>
                <w:szCs w:val="21"/>
              </w:rPr>
              <w:t>recuperare</w:t>
            </w:r>
            <w:r w:rsidR="00B06DCC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24C1C">
              <w:rPr>
                <w:rFonts w:asciiTheme="minorHAnsi" w:hAnsiTheme="minorHAnsi" w:cstheme="minorHAnsi"/>
                <w:sz w:val="21"/>
                <w:szCs w:val="21"/>
              </w:rPr>
              <w:t xml:space="preserve">in altro modo </w:t>
            </w:r>
            <w:r w:rsidR="00B06DCC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che proseguendo le attività già intraprese </w:t>
            </w:r>
            <w:r w:rsidR="004F1E05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27" w:type="dxa"/>
          </w:tcPr>
          <w:p w14:paraId="17E0D160" w14:textId="2615548B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6CD1F87" w14:textId="27604F51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4EFC6C25" w14:textId="77777777" w:rsidTr="006D6A9C">
        <w:trPr>
          <w:jc w:val="center"/>
        </w:trPr>
        <w:tc>
          <w:tcPr>
            <w:tcW w:w="9725" w:type="dxa"/>
          </w:tcPr>
          <w:p w14:paraId="61D7276D" w14:textId="6BA42D33" w:rsidR="00622069" w:rsidRPr="000E33EC" w:rsidRDefault="00305FB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</w:t>
            </w:r>
            <w:r w:rsidR="0062206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coefficiente </w:t>
            </w:r>
            <w:r w:rsidR="00622069" w:rsidRPr="000E33EC">
              <w:rPr>
                <w:rFonts w:ascii="Calibri" w:hAnsi="Calibri"/>
                <w:i/>
              </w:rPr>
              <w:t>a</w:t>
            </w:r>
            <w:r w:rsidR="00622069" w:rsidRPr="000E33E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924C1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- </w:t>
            </w:r>
            <w:r w:rsidR="00405A57" w:rsidRPr="000E33EC">
              <w:rPr>
                <w:rFonts w:asciiTheme="minorHAnsi" w:hAnsiTheme="minorHAnsi" w:cstheme="minorHAnsi"/>
                <w:iCs/>
                <w:sz w:val="21"/>
                <w:szCs w:val="21"/>
              </w:rPr>
              <w:t>n</w:t>
            </w:r>
            <w:r w:rsidR="00405A57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ella formula delle economie di apprendimento </w:t>
            </w:r>
            <w:r w:rsidR="00924C1C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B06DCC" w:rsidRPr="000E33EC">
              <w:rPr>
                <w:rFonts w:asciiTheme="minorHAnsi" w:hAnsiTheme="minorHAnsi" w:cstheme="minorHAnsi"/>
                <w:sz w:val="21"/>
                <w:szCs w:val="21"/>
              </w:rPr>
              <w:t>è una funzione crescente dell’elasticità dei costi</w:t>
            </w:r>
          </w:p>
        </w:tc>
        <w:tc>
          <w:tcPr>
            <w:tcW w:w="527" w:type="dxa"/>
          </w:tcPr>
          <w:p w14:paraId="1610689A" w14:textId="77777777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0E8993EC" w14:textId="1B59169D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3768BA60" w14:textId="77777777" w:rsidTr="006D6A9C">
        <w:trPr>
          <w:jc w:val="center"/>
        </w:trPr>
        <w:tc>
          <w:tcPr>
            <w:tcW w:w="9725" w:type="dxa"/>
          </w:tcPr>
          <w:p w14:paraId="44CDB61C" w14:textId="1C42CA97" w:rsidR="00622069" w:rsidRPr="000E33EC" w:rsidRDefault="00BC5316" w:rsidP="00FC01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Un’impresa quotata in Borsa è anche una società per azioni, ma non vale necessariamente il viceversa</w:t>
            </w:r>
          </w:p>
        </w:tc>
        <w:tc>
          <w:tcPr>
            <w:tcW w:w="527" w:type="dxa"/>
          </w:tcPr>
          <w:p w14:paraId="22D034E1" w14:textId="43C54EC4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8895403" w14:textId="1DFA9A44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229968F0" w14:textId="77777777" w:rsidTr="006D6A9C">
        <w:trPr>
          <w:jc w:val="center"/>
        </w:trPr>
        <w:tc>
          <w:tcPr>
            <w:tcW w:w="9725" w:type="dxa"/>
          </w:tcPr>
          <w:p w14:paraId="47C2D30F" w14:textId="0876E406" w:rsidR="00622069" w:rsidRPr="000E33EC" w:rsidRDefault="00C60AB1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Le imprese</w:t>
            </w:r>
            <w:r w:rsidR="00516B6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4632D" w:rsidRPr="000E33EC">
              <w:rPr>
                <w:rFonts w:asciiTheme="minorHAnsi" w:hAnsiTheme="minorHAnsi" w:cstheme="minorHAnsi"/>
                <w:sz w:val="21"/>
                <w:szCs w:val="21"/>
              </w:rPr>
              <w:t>artigiane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, in Italia, nel 2019, avevano in media un fatturato per addetto di circa </w:t>
            </w:r>
            <w:r w:rsidR="0014632D" w:rsidRPr="000E33EC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00 mila euro</w:t>
            </w:r>
            <w:r w:rsidR="00924C1C">
              <w:rPr>
                <w:rFonts w:asciiTheme="minorHAnsi" w:hAnsiTheme="minorHAnsi" w:cstheme="minorHAnsi"/>
                <w:sz w:val="21"/>
                <w:szCs w:val="21"/>
              </w:rPr>
              <w:t>, in leggera decrescita (7,2%) sul 2018</w:t>
            </w:r>
            <w:r w:rsidR="00990263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27" w:type="dxa"/>
          </w:tcPr>
          <w:p w14:paraId="1827CCA7" w14:textId="31FCEAEF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49E2F337" w14:textId="036B84DB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06C2C8F6" w14:textId="77777777" w:rsidTr="006D6A9C">
        <w:trPr>
          <w:jc w:val="center"/>
        </w:trPr>
        <w:tc>
          <w:tcPr>
            <w:tcW w:w="9725" w:type="dxa"/>
          </w:tcPr>
          <w:p w14:paraId="725B7E80" w14:textId="73B2CDEE" w:rsidR="00622069" w:rsidRPr="000E33EC" w:rsidRDefault="008626D5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Le società quotate in Borsa, in Italia, sono </w:t>
            </w:r>
            <w:r w:rsidR="00BC5316" w:rsidRPr="000E33EC">
              <w:rPr>
                <w:rFonts w:asciiTheme="minorHAnsi" w:hAnsiTheme="minorHAnsi" w:cstheme="minorHAnsi"/>
                <w:sz w:val="21"/>
                <w:szCs w:val="21"/>
              </w:rPr>
              <w:t>più di 100</w:t>
            </w:r>
            <w:r w:rsidR="00924C1C">
              <w:rPr>
                <w:rFonts w:asciiTheme="minorHAnsi" w:hAnsiTheme="minorHAnsi" w:cstheme="minorHAnsi"/>
                <w:sz w:val="21"/>
                <w:szCs w:val="21"/>
              </w:rPr>
              <w:t xml:space="preserve"> ma meno di 1000</w:t>
            </w:r>
          </w:p>
        </w:tc>
        <w:tc>
          <w:tcPr>
            <w:tcW w:w="527" w:type="dxa"/>
          </w:tcPr>
          <w:p w14:paraId="3B10E0FF" w14:textId="4ED47C41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11947114" w14:textId="4ECDB08F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567FC533" w14:textId="77777777" w:rsidTr="006D6A9C">
        <w:trPr>
          <w:jc w:val="center"/>
        </w:trPr>
        <w:tc>
          <w:tcPr>
            <w:tcW w:w="9725" w:type="dxa"/>
          </w:tcPr>
          <w:p w14:paraId="79A43DC9" w14:textId="2FB7FAE8" w:rsidR="00622069" w:rsidRPr="000E33EC" w:rsidRDefault="0032007D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valore aggiunto </w:t>
            </w:r>
            <w:r w:rsidR="003D1C1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per addetto </w:t>
            </w:r>
            <w:r w:rsidR="005B18AE" w:rsidRPr="000E33EC">
              <w:rPr>
                <w:rFonts w:asciiTheme="minorHAnsi" w:hAnsiTheme="minorHAnsi" w:cstheme="minorHAnsi"/>
                <w:sz w:val="21"/>
                <w:szCs w:val="21"/>
              </w:rPr>
              <w:t>dipende anche dalla dimensione delle imprese</w:t>
            </w:r>
            <w:r w:rsidR="00DD65AC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e </w:t>
            </w:r>
            <w:r w:rsidR="005B18AE" w:rsidRPr="000E33EC">
              <w:rPr>
                <w:rFonts w:asciiTheme="minorHAnsi" w:hAnsiTheme="minorHAnsi" w:cstheme="minorHAnsi"/>
                <w:sz w:val="21"/>
                <w:szCs w:val="21"/>
              </w:rPr>
              <w:t>dalle economie di scala</w:t>
            </w:r>
          </w:p>
        </w:tc>
        <w:tc>
          <w:tcPr>
            <w:tcW w:w="527" w:type="dxa"/>
          </w:tcPr>
          <w:p w14:paraId="2CE33F9B" w14:textId="48AFBA61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50BF341" w14:textId="43FB40B4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5FFE140C" w14:textId="77777777" w:rsidTr="006D6A9C">
        <w:trPr>
          <w:jc w:val="center"/>
        </w:trPr>
        <w:tc>
          <w:tcPr>
            <w:tcW w:w="9725" w:type="dxa"/>
          </w:tcPr>
          <w:p w14:paraId="7EBD2564" w14:textId="7F3AD325" w:rsidR="00622069" w:rsidRPr="000E33EC" w:rsidRDefault="005B18AE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Quando i crediti verso clienti hanno una durata uguale a quella dei debiti verso fornitori, il ciclo monetario è pari a zero</w:t>
            </w:r>
          </w:p>
        </w:tc>
        <w:tc>
          <w:tcPr>
            <w:tcW w:w="527" w:type="dxa"/>
          </w:tcPr>
          <w:p w14:paraId="395074CD" w14:textId="18EE22AB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5E9D9F88" w14:textId="188E033E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08310996" w14:textId="77777777" w:rsidTr="006D6A9C">
        <w:trPr>
          <w:jc w:val="center"/>
        </w:trPr>
        <w:tc>
          <w:tcPr>
            <w:tcW w:w="9725" w:type="dxa"/>
          </w:tcPr>
          <w:p w14:paraId="315402ED" w14:textId="040B4733" w:rsidR="00622069" w:rsidRPr="000E33EC" w:rsidRDefault="00D2757C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La massimizzazione del valore “condiviso” non è compatibile con la realizzazione di un </w:t>
            </w:r>
            <w:r w:rsidR="00783747">
              <w:rPr>
                <w:rFonts w:asciiTheme="minorHAnsi" w:hAnsiTheme="minorHAnsi" w:cstheme="minorHAnsi"/>
                <w:sz w:val="21"/>
                <w:szCs w:val="21"/>
              </w:rPr>
              <w:t>reddito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residuale</w:t>
            </w:r>
            <w:r w:rsidR="00783747">
              <w:rPr>
                <w:rFonts w:asciiTheme="minorHAnsi" w:hAnsiTheme="minorHAnsi" w:cstheme="minorHAnsi"/>
                <w:sz w:val="21"/>
                <w:szCs w:val="21"/>
              </w:rPr>
              <w:t xml:space="preserve"> (profitto economico)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positivo  </w:t>
            </w:r>
          </w:p>
        </w:tc>
        <w:tc>
          <w:tcPr>
            <w:tcW w:w="527" w:type="dxa"/>
          </w:tcPr>
          <w:p w14:paraId="7F010D85" w14:textId="2E8FCE2C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67095D5" w14:textId="1B1F197F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622069" w:rsidRPr="000E33EC" w14:paraId="586DE095" w14:textId="77777777" w:rsidTr="006D6A9C">
        <w:trPr>
          <w:jc w:val="center"/>
        </w:trPr>
        <w:tc>
          <w:tcPr>
            <w:tcW w:w="9725" w:type="dxa"/>
          </w:tcPr>
          <w:p w14:paraId="5C4986F9" w14:textId="4D9E543B" w:rsidR="00622069" w:rsidRPr="000E33EC" w:rsidRDefault="00630CC2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La massimizzazione </w:t>
            </w:r>
            <w:r w:rsidR="00D2757C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del profitto può soddisfare le aspettative di diversi </w:t>
            </w:r>
            <w:proofErr w:type="spellStart"/>
            <w:r w:rsidR="00D2757C" w:rsidRPr="000E33EC">
              <w:rPr>
                <w:rFonts w:asciiTheme="minorHAnsi" w:hAnsiTheme="minorHAnsi" w:cstheme="minorHAnsi"/>
                <w:sz w:val="21"/>
                <w:szCs w:val="21"/>
              </w:rPr>
              <w:t>stakeholders</w:t>
            </w:r>
            <w:proofErr w:type="spellEnd"/>
            <w:r w:rsidR="00D2757C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d’impresa</w:t>
            </w:r>
            <w:r w:rsidR="00783747">
              <w:rPr>
                <w:rFonts w:asciiTheme="minorHAnsi" w:hAnsiTheme="minorHAnsi" w:cstheme="minorHAnsi"/>
                <w:sz w:val="21"/>
                <w:szCs w:val="21"/>
              </w:rPr>
              <w:t>, e non solo degli azionisti</w:t>
            </w:r>
          </w:p>
        </w:tc>
        <w:tc>
          <w:tcPr>
            <w:tcW w:w="527" w:type="dxa"/>
          </w:tcPr>
          <w:p w14:paraId="0BCBE33D" w14:textId="1321EAEA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7D95A67" w14:textId="69A26AAC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13CA7E39" w14:textId="77777777" w:rsidTr="006D6A9C">
        <w:trPr>
          <w:jc w:val="center"/>
        </w:trPr>
        <w:tc>
          <w:tcPr>
            <w:tcW w:w="9725" w:type="dxa"/>
          </w:tcPr>
          <w:p w14:paraId="0A4D92B1" w14:textId="04E27405" w:rsidR="00622069" w:rsidRPr="000E33EC" w:rsidRDefault="00DA684F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Il CCN cresce con la dimensione d’impresa, a parità di altre condizioni</w:t>
            </w:r>
          </w:p>
        </w:tc>
        <w:tc>
          <w:tcPr>
            <w:tcW w:w="527" w:type="dxa"/>
          </w:tcPr>
          <w:p w14:paraId="5D014C9E" w14:textId="173DDB51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15E52BB5" w14:textId="6DF52147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22069" w:rsidRPr="000E33EC" w14:paraId="4DF7E8E8" w14:textId="77777777" w:rsidTr="006D6A9C">
        <w:trPr>
          <w:jc w:val="center"/>
        </w:trPr>
        <w:tc>
          <w:tcPr>
            <w:tcW w:w="9725" w:type="dxa"/>
          </w:tcPr>
          <w:p w14:paraId="5A58FE69" w14:textId="6737E46A" w:rsidR="00622069" w:rsidRPr="000E33EC" w:rsidRDefault="003700E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Auspicabilmente, g</w:t>
            </w:r>
            <w:r w:rsidR="00237D34" w:rsidRPr="000E33EC">
              <w:rPr>
                <w:rFonts w:asciiTheme="minorHAnsi" w:hAnsiTheme="minorHAnsi" w:cstheme="minorHAnsi"/>
                <w:sz w:val="21"/>
                <w:szCs w:val="21"/>
              </w:rPr>
              <w:t>li obiettivi di sostenibilità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37D34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dovrebbero essere perseguiti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congiuntamente (e non in opposizione) a quelli di massimizzazione del valore economico</w:t>
            </w:r>
          </w:p>
        </w:tc>
        <w:tc>
          <w:tcPr>
            <w:tcW w:w="527" w:type="dxa"/>
          </w:tcPr>
          <w:p w14:paraId="2324FAB5" w14:textId="3B1370C4" w:rsidR="00622069" w:rsidRPr="000E33EC" w:rsidRDefault="00BC31E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5CB2AF32" w14:textId="77777777" w:rsidR="00622069" w:rsidRPr="000E33EC" w:rsidRDefault="0062206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6FE5ACD" w14:textId="77777777" w:rsidR="003C3FAE" w:rsidRPr="000E33EC" w:rsidRDefault="003C3FAE" w:rsidP="003C3FAE">
      <w:pPr>
        <w:rPr>
          <w:rFonts w:asciiTheme="minorHAnsi" w:hAnsiTheme="minorHAnsi" w:cstheme="minorHAnsi"/>
          <w:b/>
          <w:sz w:val="21"/>
          <w:szCs w:val="21"/>
        </w:rPr>
      </w:pPr>
    </w:p>
    <w:p w14:paraId="1772F48B" w14:textId="77777777" w:rsidR="00A26858" w:rsidRPr="000E33EC" w:rsidRDefault="00A26858" w:rsidP="000E5B6B">
      <w:pPr>
        <w:rPr>
          <w:rFonts w:asciiTheme="minorHAnsi" w:hAnsiTheme="minorHAnsi" w:cstheme="minorHAnsi"/>
          <w:sz w:val="21"/>
          <w:szCs w:val="21"/>
        </w:rPr>
      </w:pPr>
    </w:p>
    <w:sectPr w:rsidR="00A26858" w:rsidRPr="000E33EC" w:rsidSect="002F0219">
      <w:footerReference w:type="even" r:id="rId8"/>
      <w:footerReference w:type="default" r:id="rId9"/>
      <w:headerReference w:type="first" r:id="rId10"/>
      <w:pgSz w:w="11905" w:h="16837"/>
      <w:pgMar w:top="720" w:right="720" w:bottom="720" w:left="720" w:header="709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DAD89" w14:textId="77777777" w:rsidR="00A175DF" w:rsidRDefault="00A175DF">
      <w:r>
        <w:separator/>
      </w:r>
    </w:p>
  </w:endnote>
  <w:endnote w:type="continuationSeparator" w:id="0">
    <w:p w14:paraId="45ECF6D3" w14:textId="77777777" w:rsidR="00A175DF" w:rsidRDefault="00A1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9665800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EAA278" w14:textId="4D7EE50F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8881DD" w14:textId="77777777" w:rsidR="008743B0" w:rsidRDefault="008743B0" w:rsidP="008743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3212652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21EFAE" w14:textId="7F4FD351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BC80F6B" w14:textId="77777777" w:rsidR="00856DA1" w:rsidRPr="00D61ACD" w:rsidRDefault="00856DA1" w:rsidP="008743B0">
    <w:pPr>
      <w:pStyle w:val="Pidipagina"/>
      <w:ind w:left="-127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C72F2" w14:textId="77777777" w:rsidR="00A175DF" w:rsidRDefault="00A175DF">
      <w:r>
        <w:separator/>
      </w:r>
    </w:p>
  </w:footnote>
  <w:footnote w:type="continuationSeparator" w:id="0">
    <w:p w14:paraId="0DF06F96" w14:textId="77777777" w:rsidR="00A175DF" w:rsidRDefault="00A1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D6F1" w14:textId="3742BA3B" w:rsidR="00B049AF" w:rsidRPr="00B049AF" w:rsidRDefault="00B049AF" w:rsidP="00B049AF">
    <w:pPr>
      <w:pStyle w:val="Intestazione"/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15EF2A8D" wp14:editId="13401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9D5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1089E"/>
    <w:multiLevelType w:val="hybridMultilevel"/>
    <w:tmpl w:val="4C54B6C0"/>
    <w:lvl w:ilvl="0" w:tplc="74CC4C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F787B"/>
    <w:multiLevelType w:val="hybridMultilevel"/>
    <w:tmpl w:val="B1AE0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0127"/>
    <w:multiLevelType w:val="hybridMultilevel"/>
    <w:tmpl w:val="20E42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3470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245E06"/>
    <w:multiLevelType w:val="hybridMultilevel"/>
    <w:tmpl w:val="1B141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47361"/>
    <w:multiLevelType w:val="hybridMultilevel"/>
    <w:tmpl w:val="5B80D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233B6"/>
    <w:multiLevelType w:val="hybridMultilevel"/>
    <w:tmpl w:val="890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8A0"/>
    <w:rsid w:val="00001A30"/>
    <w:rsid w:val="00004013"/>
    <w:rsid w:val="00006D42"/>
    <w:rsid w:val="00010D86"/>
    <w:rsid w:val="000120CF"/>
    <w:rsid w:val="00021A68"/>
    <w:rsid w:val="00024504"/>
    <w:rsid w:val="000323BA"/>
    <w:rsid w:val="000327C6"/>
    <w:rsid w:val="00033E31"/>
    <w:rsid w:val="000353FD"/>
    <w:rsid w:val="00036368"/>
    <w:rsid w:val="000369A2"/>
    <w:rsid w:val="00036FB7"/>
    <w:rsid w:val="00040B4E"/>
    <w:rsid w:val="00041E53"/>
    <w:rsid w:val="00042507"/>
    <w:rsid w:val="0004340D"/>
    <w:rsid w:val="00043D8B"/>
    <w:rsid w:val="00046CA4"/>
    <w:rsid w:val="00053091"/>
    <w:rsid w:val="00055F05"/>
    <w:rsid w:val="000615D9"/>
    <w:rsid w:val="00062887"/>
    <w:rsid w:val="00064685"/>
    <w:rsid w:val="00067A44"/>
    <w:rsid w:val="000719D3"/>
    <w:rsid w:val="00071FA1"/>
    <w:rsid w:val="0007231B"/>
    <w:rsid w:val="0007528D"/>
    <w:rsid w:val="00075F0B"/>
    <w:rsid w:val="00076B08"/>
    <w:rsid w:val="000823CF"/>
    <w:rsid w:val="00083757"/>
    <w:rsid w:val="00083BB6"/>
    <w:rsid w:val="00083C3F"/>
    <w:rsid w:val="00083DE1"/>
    <w:rsid w:val="000845C0"/>
    <w:rsid w:val="000902E2"/>
    <w:rsid w:val="00092552"/>
    <w:rsid w:val="000931CF"/>
    <w:rsid w:val="00093471"/>
    <w:rsid w:val="00094553"/>
    <w:rsid w:val="00096182"/>
    <w:rsid w:val="00096A96"/>
    <w:rsid w:val="000A1B0B"/>
    <w:rsid w:val="000A4BE0"/>
    <w:rsid w:val="000A5ADE"/>
    <w:rsid w:val="000B0265"/>
    <w:rsid w:val="000B244A"/>
    <w:rsid w:val="000B358D"/>
    <w:rsid w:val="000B511D"/>
    <w:rsid w:val="000B55D6"/>
    <w:rsid w:val="000B6270"/>
    <w:rsid w:val="000B6B54"/>
    <w:rsid w:val="000C05B4"/>
    <w:rsid w:val="000C1B61"/>
    <w:rsid w:val="000C2FB8"/>
    <w:rsid w:val="000C3864"/>
    <w:rsid w:val="000C436D"/>
    <w:rsid w:val="000C4DF9"/>
    <w:rsid w:val="000C5E34"/>
    <w:rsid w:val="000D1913"/>
    <w:rsid w:val="000D58F6"/>
    <w:rsid w:val="000D5E0F"/>
    <w:rsid w:val="000E1D4A"/>
    <w:rsid w:val="000E2BA6"/>
    <w:rsid w:val="000E33EC"/>
    <w:rsid w:val="000E3438"/>
    <w:rsid w:val="000E3DE7"/>
    <w:rsid w:val="000E5B6B"/>
    <w:rsid w:val="000E722F"/>
    <w:rsid w:val="000E7E32"/>
    <w:rsid w:val="000E7EE6"/>
    <w:rsid w:val="000F14E2"/>
    <w:rsid w:val="00100106"/>
    <w:rsid w:val="00101530"/>
    <w:rsid w:val="00102829"/>
    <w:rsid w:val="00102B94"/>
    <w:rsid w:val="00107DAF"/>
    <w:rsid w:val="0011352F"/>
    <w:rsid w:val="00113837"/>
    <w:rsid w:val="001174E0"/>
    <w:rsid w:val="00122D29"/>
    <w:rsid w:val="0012409E"/>
    <w:rsid w:val="00131302"/>
    <w:rsid w:val="00133667"/>
    <w:rsid w:val="00137CF3"/>
    <w:rsid w:val="00140591"/>
    <w:rsid w:val="00141DFC"/>
    <w:rsid w:val="0014273A"/>
    <w:rsid w:val="0014632D"/>
    <w:rsid w:val="00151425"/>
    <w:rsid w:val="0015211C"/>
    <w:rsid w:val="001523AE"/>
    <w:rsid w:val="00153947"/>
    <w:rsid w:val="00153A0F"/>
    <w:rsid w:val="00156D8F"/>
    <w:rsid w:val="0016124A"/>
    <w:rsid w:val="00163647"/>
    <w:rsid w:val="001677EE"/>
    <w:rsid w:val="00167B49"/>
    <w:rsid w:val="00167D50"/>
    <w:rsid w:val="001721E5"/>
    <w:rsid w:val="00173316"/>
    <w:rsid w:val="0017571B"/>
    <w:rsid w:val="0017599A"/>
    <w:rsid w:val="00176E0F"/>
    <w:rsid w:val="001800DC"/>
    <w:rsid w:val="001808D4"/>
    <w:rsid w:val="00186AAA"/>
    <w:rsid w:val="001920DB"/>
    <w:rsid w:val="00197C68"/>
    <w:rsid w:val="001A02E7"/>
    <w:rsid w:val="001A2D68"/>
    <w:rsid w:val="001A317E"/>
    <w:rsid w:val="001A623E"/>
    <w:rsid w:val="001A71FC"/>
    <w:rsid w:val="001B66ED"/>
    <w:rsid w:val="001C1278"/>
    <w:rsid w:val="001C1E82"/>
    <w:rsid w:val="001C5452"/>
    <w:rsid w:val="001C6B15"/>
    <w:rsid w:val="001D19D2"/>
    <w:rsid w:val="001D35AA"/>
    <w:rsid w:val="001D442C"/>
    <w:rsid w:val="001D5C4F"/>
    <w:rsid w:val="001E3157"/>
    <w:rsid w:val="001E4BE5"/>
    <w:rsid w:val="001E759A"/>
    <w:rsid w:val="001E7CEF"/>
    <w:rsid w:val="001F0B5B"/>
    <w:rsid w:val="001F3172"/>
    <w:rsid w:val="001F39B2"/>
    <w:rsid w:val="001F5371"/>
    <w:rsid w:val="001F796D"/>
    <w:rsid w:val="002022AC"/>
    <w:rsid w:val="00202EAC"/>
    <w:rsid w:val="002030C7"/>
    <w:rsid w:val="00204734"/>
    <w:rsid w:val="00204743"/>
    <w:rsid w:val="002153B1"/>
    <w:rsid w:val="0021590F"/>
    <w:rsid w:val="00215E5B"/>
    <w:rsid w:val="00216001"/>
    <w:rsid w:val="00216613"/>
    <w:rsid w:val="00217734"/>
    <w:rsid w:val="00217905"/>
    <w:rsid w:val="00220C2F"/>
    <w:rsid w:val="00220DA0"/>
    <w:rsid w:val="00221224"/>
    <w:rsid w:val="00221617"/>
    <w:rsid w:val="00221D2F"/>
    <w:rsid w:val="0022501E"/>
    <w:rsid w:val="00225BD5"/>
    <w:rsid w:val="0022674A"/>
    <w:rsid w:val="002275F4"/>
    <w:rsid w:val="00227A25"/>
    <w:rsid w:val="0023414A"/>
    <w:rsid w:val="00236224"/>
    <w:rsid w:val="00237D34"/>
    <w:rsid w:val="00241DAB"/>
    <w:rsid w:val="00244B1F"/>
    <w:rsid w:val="00245AE3"/>
    <w:rsid w:val="00245B7E"/>
    <w:rsid w:val="00247B3E"/>
    <w:rsid w:val="002527F9"/>
    <w:rsid w:val="002533E8"/>
    <w:rsid w:val="002535DC"/>
    <w:rsid w:val="00255DA2"/>
    <w:rsid w:val="002622CE"/>
    <w:rsid w:val="0026387E"/>
    <w:rsid w:val="00264C51"/>
    <w:rsid w:val="00265CE9"/>
    <w:rsid w:val="00270F01"/>
    <w:rsid w:val="00272228"/>
    <w:rsid w:val="0027232D"/>
    <w:rsid w:val="00276967"/>
    <w:rsid w:val="0027761C"/>
    <w:rsid w:val="00277D34"/>
    <w:rsid w:val="002823BA"/>
    <w:rsid w:val="00283F6B"/>
    <w:rsid w:val="0028640F"/>
    <w:rsid w:val="00287A0C"/>
    <w:rsid w:val="00291615"/>
    <w:rsid w:val="00291EB6"/>
    <w:rsid w:val="00291F98"/>
    <w:rsid w:val="00293207"/>
    <w:rsid w:val="002942BD"/>
    <w:rsid w:val="00296CCB"/>
    <w:rsid w:val="002A0653"/>
    <w:rsid w:val="002A39F2"/>
    <w:rsid w:val="002A41CC"/>
    <w:rsid w:val="002A4366"/>
    <w:rsid w:val="002A558E"/>
    <w:rsid w:val="002A789A"/>
    <w:rsid w:val="002B22DC"/>
    <w:rsid w:val="002B2B25"/>
    <w:rsid w:val="002B2F4A"/>
    <w:rsid w:val="002B57BF"/>
    <w:rsid w:val="002C32BE"/>
    <w:rsid w:val="002C51DE"/>
    <w:rsid w:val="002C5E69"/>
    <w:rsid w:val="002C6568"/>
    <w:rsid w:val="002D5A58"/>
    <w:rsid w:val="002D6957"/>
    <w:rsid w:val="002E28C6"/>
    <w:rsid w:val="002E29AF"/>
    <w:rsid w:val="002E305E"/>
    <w:rsid w:val="002E5B34"/>
    <w:rsid w:val="002F0219"/>
    <w:rsid w:val="002F4AB7"/>
    <w:rsid w:val="002F58C2"/>
    <w:rsid w:val="002F6BD3"/>
    <w:rsid w:val="003000A9"/>
    <w:rsid w:val="003006A8"/>
    <w:rsid w:val="00300A98"/>
    <w:rsid w:val="0030167E"/>
    <w:rsid w:val="00301D50"/>
    <w:rsid w:val="003026D4"/>
    <w:rsid w:val="00305E5F"/>
    <w:rsid w:val="00305FB4"/>
    <w:rsid w:val="00311AB8"/>
    <w:rsid w:val="0031314E"/>
    <w:rsid w:val="00315162"/>
    <w:rsid w:val="00315482"/>
    <w:rsid w:val="003163CB"/>
    <w:rsid w:val="00317046"/>
    <w:rsid w:val="00317A17"/>
    <w:rsid w:val="0032007D"/>
    <w:rsid w:val="00322009"/>
    <w:rsid w:val="00326672"/>
    <w:rsid w:val="003274CC"/>
    <w:rsid w:val="003322DA"/>
    <w:rsid w:val="003349B5"/>
    <w:rsid w:val="00336584"/>
    <w:rsid w:val="00337EF5"/>
    <w:rsid w:val="00342797"/>
    <w:rsid w:val="0034477D"/>
    <w:rsid w:val="003447E7"/>
    <w:rsid w:val="00344F79"/>
    <w:rsid w:val="00345EDC"/>
    <w:rsid w:val="0035104A"/>
    <w:rsid w:val="00355720"/>
    <w:rsid w:val="0035581E"/>
    <w:rsid w:val="00360CAA"/>
    <w:rsid w:val="0036772F"/>
    <w:rsid w:val="003700E9"/>
    <w:rsid w:val="00370A54"/>
    <w:rsid w:val="00370DCC"/>
    <w:rsid w:val="00372358"/>
    <w:rsid w:val="00376156"/>
    <w:rsid w:val="003812C5"/>
    <w:rsid w:val="003822DC"/>
    <w:rsid w:val="00383C4B"/>
    <w:rsid w:val="00386B6B"/>
    <w:rsid w:val="00390BDC"/>
    <w:rsid w:val="00391579"/>
    <w:rsid w:val="00393732"/>
    <w:rsid w:val="003A0E9D"/>
    <w:rsid w:val="003A5C44"/>
    <w:rsid w:val="003A7F9F"/>
    <w:rsid w:val="003B0BE4"/>
    <w:rsid w:val="003B0E97"/>
    <w:rsid w:val="003B3A0C"/>
    <w:rsid w:val="003B5537"/>
    <w:rsid w:val="003B6CD7"/>
    <w:rsid w:val="003C3FAE"/>
    <w:rsid w:val="003D0E7B"/>
    <w:rsid w:val="003D1C19"/>
    <w:rsid w:val="003D23E1"/>
    <w:rsid w:val="003D65D1"/>
    <w:rsid w:val="003E074E"/>
    <w:rsid w:val="003F18E5"/>
    <w:rsid w:val="003F3EF5"/>
    <w:rsid w:val="004016DF"/>
    <w:rsid w:val="00403759"/>
    <w:rsid w:val="00403C7C"/>
    <w:rsid w:val="00405A57"/>
    <w:rsid w:val="00406B1B"/>
    <w:rsid w:val="00412277"/>
    <w:rsid w:val="004150B5"/>
    <w:rsid w:val="00417BEE"/>
    <w:rsid w:val="00420C99"/>
    <w:rsid w:val="0042110B"/>
    <w:rsid w:val="004314C4"/>
    <w:rsid w:val="00437832"/>
    <w:rsid w:val="00442D34"/>
    <w:rsid w:val="00443FE9"/>
    <w:rsid w:val="0044597B"/>
    <w:rsid w:val="00446778"/>
    <w:rsid w:val="004469BE"/>
    <w:rsid w:val="004477AC"/>
    <w:rsid w:val="00451C95"/>
    <w:rsid w:val="0045253C"/>
    <w:rsid w:val="004538FD"/>
    <w:rsid w:val="00453E4D"/>
    <w:rsid w:val="00453FAD"/>
    <w:rsid w:val="0045648E"/>
    <w:rsid w:val="004567BB"/>
    <w:rsid w:val="00464970"/>
    <w:rsid w:val="0046752C"/>
    <w:rsid w:val="00473793"/>
    <w:rsid w:val="004746BA"/>
    <w:rsid w:val="004752BF"/>
    <w:rsid w:val="00481B90"/>
    <w:rsid w:val="004821CB"/>
    <w:rsid w:val="0048220A"/>
    <w:rsid w:val="004843F1"/>
    <w:rsid w:val="004877E0"/>
    <w:rsid w:val="00492B07"/>
    <w:rsid w:val="004932E2"/>
    <w:rsid w:val="00494772"/>
    <w:rsid w:val="004A4DD1"/>
    <w:rsid w:val="004A7FE7"/>
    <w:rsid w:val="004B4400"/>
    <w:rsid w:val="004B6F9F"/>
    <w:rsid w:val="004B76A9"/>
    <w:rsid w:val="004B7CC8"/>
    <w:rsid w:val="004C05BC"/>
    <w:rsid w:val="004C1036"/>
    <w:rsid w:val="004C7E52"/>
    <w:rsid w:val="004D0F7C"/>
    <w:rsid w:val="004D526A"/>
    <w:rsid w:val="004D73C5"/>
    <w:rsid w:val="004D7B74"/>
    <w:rsid w:val="004E347D"/>
    <w:rsid w:val="004E64E0"/>
    <w:rsid w:val="004E7CA0"/>
    <w:rsid w:val="004F0B06"/>
    <w:rsid w:val="004F1E05"/>
    <w:rsid w:val="005002D3"/>
    <w:rsid w:val="005015C5"/>
    <w:rsid w:val="00510780"/>
    <w:rsid w:val="00514888"/>
    <w:rsid w:val="00516B69"/>
    <w:rsid w:val="00520051"/>
    <w:rsid w:val="0052090A"/>
    <w:rsid w:val="00524913"/>
    <w:rsid w:val="0052636C"/>
    <w:rsid w:val="005273D6"/>
    <w:rsid w:val="00534F75"/>
    <w:rsid w:val="00536EC3"/>
    <w:rsid w:val="00541AAF"/>
    <w:rsid w:val="00542F22"/>
    <w:rsid w:val="00543B1B"/>
    <w:rsid w:val="00546BB9"/>
    <w:rsid w:val="00564CC4"/>
    <w:rsid w:val="00564D09"/>
    <w:rsid w:val="00565D03"/>
    <w:rsid w:val="00571EFF"/>
    <w:rsid w:val="00585988"/>
    <w:rsid w:val="00596257"/>
    <w:rsid w:val="00596492"/>
    <w:rsid w:val="005970D4"/>
    <w:rsid w:val="005A056B"/>
    <w:rsid w:val="005A13B2"/>
    <w:rsid w:val="005B076D"/>
    <w:rsid w:val="005B143D"/>
    <w:rsid w:val="005B18AE"/>
    <w:rsid w:val="005B21E8"/>
    <w:rsid w:val="005B3D87"/>
    <w:rsid w:val="005B5037"/>
    <w:rsid w:val="005C56AA"/>
    <w:rsid w:val="005C6DF1"/>
    <w:rsid w:val="005C70C7"/>
    <w:rsid w:val="005D050D"/>
    <w:rsid w:val="005D16CA"/>
    <w:rsid w:val="005D38CF"/>
    <w:rsid w:val="005D4519"/>
    <w:rsid w:val="005D4FE9"/>
    <w:rsid w:val="005D6B18"/>
    <w:rsid w:val="005E2B66"/>
    <w:rsid w:val="005E4805"/>
    <w:rsid w:val="005E4927"/>
    <w:rsid w:val="005F01EB"/>
    <w:rsid w:val="005F099E"/>
    <w:rsid w:val="005F212D"/>
    <w:rsid w:val="005F43F3"/>
    <w:rsid w:val="005F55F6"/>
    <w:rsid w:val="005F5A74"/>
    <w:rsid w:val="005F78AA"/>
    <w:rsid w:val="006011CA"/>
    <w:rsid w:val="00602037"/>
    <w:rsid w:val="006043D2"/>
    <w:rsid w:val="00605E01"/>
    <w:rsid w:val="0060756E"/>
    <w:rsid w:val="00612212"/>
    <w:rsid w:val="0061493B"/>
    <w:rsid w:val="00616273"/>
    <w:rsid w:val="006177F9"/>
    <w:rsid w:val="00622069"/>
    <w:rsid w:val="00622E81"/>
    <w:rsid w:val="006243B8"/>
    <w:rsid w:val="00625F26"/>
    <w:rsid w:val="00626FCC"/>
    <w:rsid w:val="006275A2"/>
    <w:rsid w:val="00630691"/>
    <w:rsid w:val="00630B87"/>
    <w:rsid w:val="00630CC2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289"/>
    <w:rsid w:val="00652D0A"/>
    <w:rsid w:val="00657242"/>
    <w:rsid w:val="006574BB"/>
    <w:rsid w:val="006607C4"/>
    <w:rsid w:val="00660F11"/>
    <w:rsid w:val="006617CE"/>
    <w:rsid w:val="00667DD5"/>
    <w:rsid w:val="006716E4"/>
    <w:rsid w:val="00671A44"/>
    <w:rsid w:val="00672847"/>
    <w:rsid w:val="00674C1C"/>
    <w:rsid w:val="006757FF"/>
    <w:rsid w:val="00675826"/>
    <w:rsid w:val="00676AEC"/>
    <w:rsid w:val="00680C70"/>
    <w:rsid w:val="00681014"/>
    <w:rsid w:val="00681319"/>
    <w:rsid w:val="0068406B"/>
    <w:rsid w:val="00686C91"/>
    <w:rsid w:val="00691B26"/>
    <w:rsid w:val="00693F9D"/>
    <w:rsid w:val="0069420C"/>
    <w:rsid w:val="00697E02"/>
    <w:rsid w:val="006A0CDB"/>
    <w:rsid w:val="006A1256"/>
    <w:rsid w:val="006A4505"/>
    <w:rsid w:val="006A46F1"/>
    <w:rsid w:val="006A4C5E"/>
    <w:rsid w:val="006A761E"/>
    <w:rsid w:val="006B2D44"/>
    <w:rsid w:val="006C1A79"/>
    <w:rsid w:val="006C5D4F"/>
    <w:rsid w:val="006C6B37"/>
    <w:rsid w:val="006D26B7"/>
    <w:rsid w:val="006D6A9C"/>
    <w:rsid w:val="006E04EA"/>
    <w:rsid w:val="006E2F4A"/>
    <w:rsid w:val="006E3E5D"/>
    <w:rsid w:val="006F3758"/>
    <w:rsid w:val="006F665E"/>
    <w:rsid w:val="006F741D"/>
    <w:rsid w:val="0070045C"/>
    <w:rsid w:val="00700A8D"/>
    <w:rsid w:val="00700FA0"/>
    <w:rsid w:val="00701AB3"/>
    <w:rsid w:val="00702FCC"/>
    <w:rsid w:val="0070315E"/>
    <w:rsid w:val="00703D68"/>
    <w:rsid w:val="007051E1"/>
    <w:rsid w:val="007067E9"/>
    <w:rsid w:val="00706B70"/>
    <w:rsid w:val="00707D3F"/>
    <w:rsid w:val="0071206B"/>
    <w:rsid w:val="007135F2"/>
    <w:rsid w:val="007210EA"/>
    <w:rsid w:val="00723F88"/>
    <w:rsid w:val="007339C7"/>
    <w:rsid w:val="0073468A"/>
    <w:rsid w:val="00745B1F"/>
    <w:rsid w:val="007523CF"/>
    <w:rsid w:val="00752F64"/>
    <w:rsid w:val="00756654"/>
    <w:rsid w:val="007571D7"/>
    <w:rsid w:val="00760134"/>
    <w:rsid w:val="00761296"/>
    <w:rsid w:val="007623F6"/>
    <w:rsid w:val="00766E03"/>
    <w:rsid w:val="00771A54"/>
    <w:rsid w:val="00772EC5"/>
    <w:rsid w:val="00774BD4"/>
    <w:rsid w:val="007776BB"/>
    <w:rsid w:val="00781CA9"/>
    <w:rsid w:val="00783747"/>
    <w:rsid w:val="0078381E"/>
    <w:rsid w:val="00783DBA"/>
    <w:rsid w:val="007846A0"/>
    <w:rsid w:val="00785A55"/>
    <w:rsid w:val="00787E58"/>
    <w:rsid w:val="0079144D"/>
    <w:rsid w:val="0079533E"/>
    <w:rsid w:val="00797BB0"/>
    <w:rsid w:val="007A0397"/>
    <w:rsid w:val="007A1CF4"/>
    <w:rsid w:val="007A5628"/>
    <w:rsid w:val="007B1098"/>
    <w:rsid w:val="007B2D94"/>
    <w:rsid w:val="007B3FCD"/>
    <w:rsid w:val="007B5776"/>
    <w:rsid w:val="007B64A9"/>
    <w:rsid w:val="007B6B96"/>
    <w:rsid w:val="007C1227"/>
    <w:rsid w:val="007C13D2"/>
    <w:rsid w:val="007C27F1"/>
    <w:rsid w:val="007C6DDA"/>
    <w:rsid w:val="007D23A9"/>
    <w:rsid w:val="007E22CD"/>
    <w:rsid w:val="007E59B3"/>
    <w:rsid w:val="007E78ED"/>
    <w:rsid w:val="007F08AC"/>
    <w:rsid w:val="007F1D7D"/>
    <w:rsid w:val="007F457E"/>
    <w:rsid w:val="007F4B8D"/>
    <w:rsid w:val="00801C1C"/>
    <w:rsid w:val="00807D7D"/>
    <w:rsid w:val="00811FB5"/>
    <w:rsid w:val="00813F69"/>
    <w:rsid w:val="008149B2"/>
    <w:rsid w:val="00815293"/>
    <w:rsid w:val="0081647D"/>
    <w:rsid w:val="008171B6"/>
    <w:rsid w:val="00826469"/>
    <w:rsid w:val="00826A92"/>
    <w:rsid w:val="00826ED0"/>
    <w:rsid w:val="00835863"/>
    <w:rsid w:val="00840488"/>
    <w:rsid w:val="00841BB8"/>
    <w:rsid w:val="0084265D"/>
    <w:rsid w:val="00843609"/>
    <w:rsid w:val="00843DC9"/>
    <w:rsid w:val="00845952"/>
    <w:rsid w:val="00846D4B"/>
    <w:rsid w:val="00847EDF"/>
    <w:rsid w:val="008501F5"/>
    <w:rsid w:val="00851289"/>
    <w:rsid w:val="0085211B"/>
    <w:rsid w:val="008521BC"/>
    <w:rsid w:val="00853B33"/>
    <w:rsid w:val="00854DF1"/>
    <w:rsid w:val="00855838"/>
    <w:rsid w:val="00856390"/>
    <w:rsid w:val="00856DA1"/>
    <w:rsid w:val="00860DBE"/>
    <w:rsid w:val="008626D5"/>
    <w:rsid w:val="0086288D"/>
    <w:rsid w:val="00866672"/>
    <w:rsid w:val="008674F6"/>
    <w:rsid w:val="008743B0"/>
    <w:rsid w:val="008819B3"/>
    <w:rsid w:val="00890A64"/>
    <w:rsid w:val="008913D4"/>
    <w:rsid w:val="00891ADC"/>
    <w:rsid w:val="00892118"/>
    <w:rsid w:val="008943E5"/>
    <w:rsid w:val="00895EC5"/>
    <w:rsid w:val="008964D5"/>
    <w:rsid w:val="00896E36"/>
    <w:rsid w:val="008A0473"/>
    <w:rsid w:val="008A3F68"/>
    <w:rsid w:val="008A4C07"/>
    <w:rsid w:val="008A709A"/>
    <w:rsid w:val="008A7F78"/>
    <w:rsid w:val="008B26CE"/>
    <w:rsid w:val="008B311B"/>
    <w:rsid w:val="008B4BEC"/>
    <w:rsid w:val="008C32B9"/>
    <w:rsid w:val="008C5B2F"/>
    <w:rsid w:val="008C64AA"/>
    <w:rsid w:val="008C672B"/>
    <w:rsid w:val="008D0D86"/>
    <w:rsid w:val="008D246B"/>
    <w:rsid w:val="008D54A6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2D0F"/>
    <w:rsid w:val="008F3955"/>
    <w:rsid w:val="008F3CA3"/>
    <w:rsid w:val="008F6F84"/>
    <w:rsid w:val="008F7C10"/>
    <w:rsid w:val="0090072D"/>
    <w:rsid w:val="00903CC6"/>
    <w:rsid w:val="0090792C"/>
    <w:rsid w:val="009124FE"/>
    <w:rsid w:val="00912D80"/>
    <w:rsid w:val="00913503"/>
    <w:rsid w:val="00924C1C"/>
    <w:rsid w:val="00925694"/>
    <w:rsid w:val="00925F70"/>
    <w:rsid w:val="00925F72"/>
    <w:rsid w:val="0092726D"/>
    <w:rsid w:val="00932BB5"/>
    <w:rsid w:val="00933476"/>
    <w:rsid w:val="00934962"/>
    <w:rsid w:val="0093596C"/>
    <w:rsid w:val="00935F81"/>
    <w:rsid w:val="009376CF"/>
    <w:rsid w:val="00941B5C"/>
    <w:rsid w:val="009420A4"/>
    <w:rsid w:val="00942A8C"/>
    <w:rsid w:val="0094307D"/>
    <w:rsid w:val="00943C55"/>
    <w:rsid w:val="009452F6"/>
    <w:rsid w:val="00946BF8"/>
    <w:rsid w:val="00954085"/>
    <w:rsid w:val="00954BCB"/>
    <w:rsid w:val="009560E2"/>
    <w:rsid w:val="00957119"/>
    <w:rsid w:val="009603EE"/>
    <w:rsid w:val="00960934"/>
    <w:rsid w:val="00960D81"/>
    <w:rsid w:val="00961891"/>
    <w:rsid w:val="00961C2F"/>
    <w:rsid w:val="009634C4"/>
    <w:rsid w:val="00964A65"/>
    <w:rsid w:val="009666DF"/>
    <w:rsid w:val="00967876"/>
    <w:rsid w:val="00970D30"/>
    <w:rsid w:val="009734A3"/>
    <w:rsid w:val="009807DF"/>
    <w:rsid w:val="009812DE"/>
    <w:rsid w:val="00982DB4"/>
    <w:rsid w:val="00985906"/>
    <w:rsid w:val="009862F1"/>
    <w:rsid w:val="009871E5"/>
    <w:rsid w:val="00990263"/>
    <w:rsid w:val="00993326"/>
    <w:rsid w:val="00993983"/>
    <w:rsid w:val="00993994"/>
    <w:rsid w:val="009944AB"/>
    <w:rsid w:val="009A0512"/>
    <w:rsid w:val="009A2C77"/>
    <w:rsid w:val="009A3465"/>
    <w:rsid w:val="009A3C07"/>
    <w:rsid w:val="009A4361"/>
    <w:rsid w:val="009A4E62"/>
    <w:rsid w:val="009A548B"/>
    <w:rsid w:val="009A76B3"/>
    <w:rsid w:val="009B1A98"/>
    <w:rsid w:val="009B4097"/>
    <w:rsid w:val="009C53E4"/>
    <w:rsid w:val="009D055D"/>
    <w:rsid w:val="009D20BC"/>
    <w:rsid w:val="009D3DCF"/>
    <w:rsid w:val="009E108E"/>
    <w:rsid w:val="009E399A"/>
    <w:rsid w:val="009E5396"/>
    <w:rsid w:val="009E5452"/>
    <w:rsid w:val="009E5CD0"/>
    <w:rsid w:val="009E62AD"/>
    <w:rsid w:val="009F4BE6"/>
    <w:rsid w:val="009F61C2"/>
    <w:rsid w:val="00A02AB4"/>
    <w:rsid w:val="00A038AA"/>
    <w:rsid w:val="00A05B8C"/>
    <w:rsid w:val="00A06EA3"/>
    <w:rsid w:val="00A07583"/>
    <w:rsid w:val="00A078A3"/>
    <w:rsid w:val="00A07AB0"/>
    <w:rsid w:val="00A12684"/>
    <w:rsid w:val="00A135A6"/>
    <w:rsid w:val="00A13615"/>
    <w:rsid w:val="00A149D2"/>
    <w:rsid w:val="00A175DF"/>
    <w:rsid w:val="00A176D2"/>
    <w:rsid w:val="00A21659"/>
    <w:rsid w:val="00A21704"/>
    <w:rsid w:val="00A25A16"/>
    <w:rsid w:val="00A25CD7"/>
    <w:rsid w:val="00A26858"/>
    <w:rsid w:val="00A30320"/>
    <w:rsid w:val="00A336EE"/>
    <w:rsid w:val="00A348B5"/>
    <w:rsid w:val="00A36BB2"/>
    <w:rsid w:val="00A405C8"/>
    <w:rsid w:val="00A40821"/>
    <w:rsid w:val="00A4220E"/>
    <w:rsid w:val="00A43499"/>
    <w:rsid w:val="00A473E9"/>
    <w:rsid w:val="00A47DE5"/>
    <w:rsid w:val="00A554DB"/>
    <w:rsid w:val="00A57404"/>
    <w:rsid w:val="00A57D20"/>
    <w:rsid w:val="00A602C5"/>
    <w:rsid w:val="00A6587C"/>
    <w:rsid w:val="00A74EEC"/>
    <w:rsid w:val="00A774DA"/>
    <w:rsid w:val="00A80321"/>
    <w:rsid w:val="00A80E3F"/>
    <w:rsid w:val="00A811EA"/>
    <w:rsid w:val="00A859B0"/>
    <w:rsid w:val="00A8642C"/>
    <w:rsid w:val="00A86FEC"/>
    <w:rsid w:val="00A9023A"/>
    <w:rsid w:val="00A951EA"/>
    <w:rsid w:val="00AA0C82"/>
    <w:rsid w:val="00AA18A8"/>
    <w:rsid w:val="00AA3B20"/>
    <w:rsid w:val="00AA43FA"/>
    <w:rsid w:val="00AA4A01"/>
    <w:rsid w:val="00AB4637"/>
    <w:rsid w:val="00AB502B"/>
    <w:rsid w:val="00AB5DD5"/>
    <w:rsid w:val="00AB625A"/>
    <w:rsid w:val="00AB72C1"/>
    <w:rsid w:val="00AC215B"/>
    <w:rsid w:val="00AC277A"/>
    <w:rsid w:val="00AC28F7"/>
    <w:rsid w:val="00AC3CEB"/>
    <w:rsid w:val="00AD0885"/>
    <w:rsid w:val="00AD1495"/>
    <w:rsid w:val="00AD2C55"/>
    <w:rsid w:val="00AD786E"/>
    <w:rsid w:val="00AE050B"/>
    <w:rsid w:val="00AE08F9"/>
    <w:rsid w:val="00AE093F"/>
    <w:rsid w:val="00AE19FF"/>
    <w:rsid w:val="00AE3023"/>
    <w:rsid w:val="00AE565C"/>
    <w:rsid w:val="00AE63AB"/>
    <w:rsid w:val="00AE76F6"/>
    <w:rsid w:val="00AF00ED"/>
    <w:rsid w:val="00AF3A88"/>
    <w:rsid w:val="00AF5353"/>
    <w:rsid w:val="00AF76CE"/>
    <w:rsid w:val="00B0374A"/>
    <w:rsid w:val="00B03767"/>
    <w:rsid w:val="00B04279"/>
    <w:rsid w:val="00B049AF"/>
    <w:rsid w:val="00B04DC2"/>
    <w:rsid w:val="00B06DCC"/>
    <w:rsid w:val="00B0754E"/>
    <w:rsid w:val="00B1122F"/>
    <w:rsid w:val="00B1127D"/>
    <w:rsid w:val="00B134B6"/>
    <w:rsid w:val="00B1370D"/>
    <w:rsid w:val="00B142A1"/>
    <w:rsid w:val="00B159B4"/>
    <w:rsid w:val="00B20353"/>
    <w:rsid w:val="00B203C5"/>
    <w:rsid w:val="00B21EFA"/>
    <w:rsid w:val="00B247A7"/>
    <w:rsid w:val="00B260A6"/>
    <w:rsid w:val="00B274A1"/>
    <w:rsid w:val="00B31F27"/>
    <w:rsid w:val="00B32EBF"/>
    <w:rsid w:val="00B337F5"/>
    <w:rsid w:val="00B3396D"/>
    <w:rsid w:val="00B34499"/>
    <w:rsid w:val="00B37D58"/>
    <w:rsid w:val="00B401B8"/>
    <w:rsid w:val="00B4071E"/>
    <w:rsid w:val="00B42742"/>
    <w:rsid w:val="00B443B8"/>
    <w:rsid w:val="00B45934"/>
    <w:rsid w:val="00B507E7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7553B"/>
    <w:rsid w:val="00B75F42"/>
    <w:rsid w:val="00B813D3"/>
    <w:rsid w:val="00B816BD"/>
    <w:rsid w:val="00B81AFB"/>
    <w:rsid w:val="00B853F4"/>
    <w:rsid w:val="00B86068"/>
    <w:rsid w:val="00B924BD"/>
    <w:rsid w:val="00B93642"/>
    <w:rsid w:val="00B93BFD"/>
    <w:rsid w:val="00B95E08"/>
    <w:rsid w:val="00BA05F0"/>
    <w:rsid w:val="00BA246C"/>
    <w:rsid w:val="00BA289F"/>
    <w:rsid w:val="00BB5703"/>
    <w:rsid w:val="00BB5DE6"/>
    <w:rsid w:val="00BC1AA7"/>
    <w:rsid w:val="00BC20DE"/>
    <w:rsid w:val="00BC31EE"/>
    <w:rsid w:val="00BC3D58"/>
    <w:rsid w:val="00BC5316"/>
    <w:rsid w:val="00BD10EF"/>
    <w:rsid w:val="00BD71F3"/>
    <w:rsid w:val="00BD7B53"/>
    <w:rsid w:val="00BE3B72"/>
    <w:rsid w:val="00BE6B78"/>
    <w:rsid w:val="00BF0885"/>
    <w:rsid w:val="00BF15C3"/>
    <w:rsid w:val="00BF1707"/>
    <w:rsid w:val="00BF3750"/>
    <w:rsid w:val="00BF5372"/>
    <w:rsid w:val="00BF6D4A"/>
    <w:rsid w:val="00BF6D99"/>
    <w:rsid w:val="00C05691"/>
    <w:rsid w:val="00C0734C"/>
    <w:rsid w:val="00C12804"/>
    <w:rsid w:val="00C12AC8"/>
    <w:rsid w:val="00C14CD7"/>
    <w:rsid w:val="00C178E1"/>
    <w:rsid w:val="00C17F23"/>
    <w:rsid w:val="00C21275"/>
    <w:rsid w:val="00C21747"/>
    <w:rsid w:val="00C309FF"/>
    <w:rsid w:val="00C35F66"/>
    <w:rsid w:val="00C37CCC"/>
    <w:rsid w:val="00C40621"/>
    <w:rsid w:val="00C41C28"/>
    <w:rsid w:val="00C42113"/>
    <w:rsid w:val="00C44F4C"/>
    <w:rsid w:val="00C45710"/>
    <w:rsid w:val="00C46299"/>
    <w:rsid w:val="00C51A2B"/>
    <w:rsid w:val="00C56337"/>
    <w:rsid w:val="00C56960"/>
    <w:rsid w:val="00C57924"/>
    <w:rsid w:val="00C60AB1"/>
    <w:rsid w:val="00C62315"/>
    <w:rsid w:val="00C63621"/>
    <w:rsid w:val="00C64015"/>
    <w:rsid w:val="00C667F9"/>
    <w:rsid w:val="00C70087"/>
    <w:rsid w:val="00C70C6A"/>
    <w:rsid w:val="00C7167B"/>
    <w:rsid w:val="00C72872"/>
    <w:rsid w:val="00C73F70"/>
    <w:rsid w:val="00C74EC9"/>
    <w:rsid w:val="00C77A92"/>
    <w:rsid w:val="00C77BEA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86DAB"/>
    <w:rsid w:val="00C94408"/>
    <w:rsid w:val="00C971D1"/>
    <w:rsid w:val="00C97D17"/>
    <w:rsid w:val="00CA0E27"/>
    <w:rsid w:val="00CA1C27"/>
    <w:rsid w:val="00CA209A"/>
    <w:rsid w:val="00CA230B"/>
    <w:rsid w:val="00CA3C00"/>
    <w:rsid w:val="00CA7599"/>
    <w:rsid w:val="00CB5671"/>
    <w:rsid w:val="00CB72B2"/>
    <w:rsid w:val="00CC4020"/>
    <w:rsid w:val="00CC471B"/>
    <w:rsid w:val="00CC4C02"/>
    <w:rsid w:val="00CC6124"/>
    <w:rsid w:val="00CD0E0C"/>
    <w:rsid w:val="00CD2C69"/>
    <w:rsid w:val="00CD6848"/>
    <w:rsid w:val="00CD6F17"/>
    <w:rsid w:val="00CD7665"/>
    <w:rsid w:val="00CE0814"/>
    <w:rsid w:val="00CE4E52"/>
    <w:rsid w:val="00CE53B8"/>
    <w:rsid w:val="00CF08F0"/>
    <w:rsid w:val="00CF0BC4"/>
    <w:rsid w:val="00CF3CEB"/>
    <w:rsid w:val="00CF49AE"/>
    <w:rsid w:val="00CF6CC6"/>
    <w:rsid w:val="00D01530"/>
    <w:rsid w:val="00D03522"/>
    <w:rsid w:val="00D03A59"/>
    <w:rsid w:val="00D05830"/>
    <w:rsid w:val="00D06098"/>
    <w:rsid w:val="00D06137"/>
    <w:rsid w:val="00D067C6"/>
    <w:rsid w:val="00D126C5"/>
    <w:rsid w:val="00D2087B"/>
    <w:rsid w:val="00D227B7"/>
    <w:rsid w:val="00D2757C"/>
    <w:rsid w:val="00D311A6"/>
    <w:rsid w:val="00D3247A"/>
    <w:rsid w:val="00D33214"/>
    <w:rsid w:val="00D35E64"/>
    <w:rsid w:val="00D42FF1"/>
    <w:rsid w:val="00D4723B"/>
    <w:rsid w:val="00D6073A"/>
    <w:rsid w:val="00D619B3"/>
    <w:rsid w:val="00D666C5"/>
    <w:rsid w:val="00D67330"/>
    <w:rsid w:val="00D701EA"/>
    <w:rsid w:val="00D7143C"/>
    <w:rsid w:val="00D72E95"/>
    <w:rsid w:val="00D73D19"/>
    <w:rsid w:val="00D771CC"/>
    <w:rsid w:val="00D80DC8"/>
    <w:rsid w:val="00D81D6C"/>
    <w:rsid w:val="00D85BA4"/>
    <w:rsid w:val="00D9643B"/>
    <w:rsid w:val="00D977A0"/>
    <w:rsid w:val="00D97A2E"/>
    <w:rsid w:val="00DA684F"/>
    <w:rsid w:val="00DA71C4"/>
    <w:rsid w:val="00DB2028"/>
    <w:rsid w:val="00DB3614"/>
    <w:rsid w:val="00DB482B"/>
    <w:rsid w:val="00DB7264"/>
    <w:rsid w:val="00DC0619"/>
    <w:rsid w:val="00DC4114"/>
    <w:rsid w:val="00DC52A5"/>
    <w:rsid w:val="00DC5FDA"/>
    <w:rsid w:val="00DC619C"/>
    <w:rsid w:val="00DD0A53"/>
    <w:rsid w:val="00DD6513"/>
    <w:rsid w:val="00DD65AC"/>
    <w:rsid w:val="00DE2C69"/>
    <w:rsid w:val="00DE3E32"/>
    <w:rsid w:val="00DE4DC8"/>
    <w:rsid w:val="00DE5782"/>
    <w:rsid w:val="00DF0BFB"/>
    <w:rsid w:val="00DF4714"/>
    <w:rsid w:val="00DF50D8"/>
    <w:rsid w:val="00DF7CCD"/>
    <w:rsid w:val="00E06264"/>
    <w:rsid w:val="00E064AC"/>
    <w:rsid w:val="00E0778B"/>
    <w:rsid w:val="00E13AAB"/>
    <w:rsid w:val="00E14500"/>
    <w:rsid w:val="00E1454B"/>
    <w:rsid w:val="00E14D1C"/>
    <w:rsid w:val="00E15283"/>
    <w:rsid w:val="00E16121"/>
    <w:rsid w:val="00E17658"/>
    <w:rsid w:val="00E21500"/>
    <w:rsid w:val="00E23215"/>
    <w:rsid w:val="00E25E07"/>
    <w:rsid w:val="00E26BCF"/>
    <w:rsid w:val="00E27617"/>
    <w:rsid w:val="00E308B3"/>
    <w:rsid w:val="00E31664"/>
    <w:rsid w:val="00E3234E"/>
    <w:rsid w:val="00E338A5"/>
    <w:rsid w:val="00E40BC2"/>
    <w:rsid w:val="00E417E8"/>
    <w:rsid w:val="00E448F3"/>
    <w:rsid w:val="00E44996"/>
    <w:rsid w:val="00E5186E"/>
    <w:rsid w:val="00E522F3"/>
    <w:rsid w:val="00E533B0"/>
    <w:rsid w:val="00E53CA8"/>
    <w:rsid w:val="00E53E20"/>
    <w:rsid w:val="00E5415C"/>
    <w:rsid w:val="00E5437C"/>
    <w:rsid w:val="00E55816"/>
    <w:rsid w:val="00E6437E"/>
    <w:rsid w:val="00E64F14"/>
    <w:rsid w:val="00E65B3D"/>
    <w:rsid w:val="00E65E14"/>
    <w:rsid w:val="00E65FF7"/>
    <w:rsid w:val="00E840A3"/>
    <w:rsid w:val="00E87D49"/>
    <w:rsid w:val="00E87EB9"/>
    <w:rsid w:val="00E91983"/>
    <w:rsid w:val="00E93D4C"/>
    <w:rsid w:val="00EA5934"/>
    <w:rsid w:val="00EA6CF1"/>
    <w:rsid w:val="00EA6EEA"/>
    <w:rsid w:val="00EA7C09"/>
    <w:rsid w:val="00EB77D8"/>
    <w:rsid w:val="00EC063D"/>
    <w:rsid w:val="00EC06BA"/>
    <w:rsid w:val="00EC4837"/>
    <w:rsid w:val="00EC495A"/>
    <w:rsid w:val="00EC49EC"/>
    <w:rsid w:val="00EC557D"/>
    <w:rsid w:val="00EC7910"/>
    <w:rsid w:val="00EC7E38"/>
    <w:rsid w:val="00ED13C8"/>
    <w:rsid w:val="00ED1A98"/>
    <w:rsid w:val="00ED1E6C"/>
    <w:rsid w:val="00ED2272"/>
    <w:rsid w:val="00ED3383"/>
    <w:rsid w:val="00ED4E7E"/>
    <w:rsid w:val="00ED6393"/>
    <w:rsid w:val="00ED6919"/>
    <w:rsid w:val="00EE1E4D"/>
    <w:rsid w:val="00EE4CD8"/>
    <w:rsid w:val="00EE52D6"/>
    <w:rsid w:val="00EF0B34"/>
    <w:rsid w:val="00EF1712"/>
    <w:rsid w:val="00EF2E90"/>
    <w:rsid w:val="00EF40A4"/>
    <w:rsid w:val="00EF6E89"/>
    <w:rsid w:val="00F0293B"/>
    <w:rsid w:val="00F20CC6"/>
    <w:rsid w:val="00F22B97"/>
    <w:rsid w:val="00F3234A"/>
    <w:rsid w:val="00F3253C"/>
    <w:rsid w:val="00F40000"/>
    <w:rsid w:val="00F41058"/>
    <w:rsid w:val="00F416FF"/>
    <w:rsid w:val="00F418E2"/>
    <w:rsid w:val="00F42297"/>
    <w:rsid w:val="00F4397F"/>
    <w:rsid w:val="00F440C7"/>
    <w:rsid w:val="00F45D48"/>
    <w:rsid w:val="00F45E4C"/>
    <w:rsid w:val="00F4619A"/>
    <w:rsid w:val="00F555CB"/>
    <w:rsid w:val="00F558D7"/>
    <w:rsid w:val="00F62411"/>
    <w:rsid w:val="00F63EBB"/>
    <w:rsid w:val="00F66C38"/>
    <w:rsid w:val="00F67AD0"/>
    <w:rsid w:val="00F71774"/>
    <w:rsid w:val="00F71F95"/>
    <w:rsid w:val="00F72D93"/>
    <w:rsid w:val="00F74621"/>
    <w:rsid w:val="00F74E68"/>
    <w:rsid w:val="00F82F52"/>
    <w:rsid w:val="00F848F7"/>
    <w:rsid w:val="00F864AC"/>
    <w:rsid w:val="00F92E8A"/>
    <w:rsid w:val="00F94CD7"/>
    <w:rsid w:val="00F950B8"/>
    <w:rsid w:val="00FA067C"/>
    <w:rsid w:val="00FA2306"/>
    <w:rsid w:val="00FA45BC"/>
    <w:rsid w:val="00FA5A65"/>
    <w:rsid w:val="00FA7740"/>
    <w:rsid w:val="00FB1321"/>
    <w:rsid w:val="00FB2CF5"/>
    <w:rsid w:val="00FB41B1"/>
    <w:rsid w:val="00FC01FC"/>
    <w:rsid w:val="00FC1C53"/>
    <w:rsid w:val="00FC7973"/>
    <w:rsid w:val="00FD14F1"/>
    <w:rsid w:val="00FD3DE0"/>
    <w:rsid w:val="00FD4845"/>
    <w:rsid w:val="00FE16B4"/>
    <w:rsid w:val="00FE3914"/>
    <w:rsid w:val="00FE4F39"/>
    <w:rsid w:val="00FE685A"/>
    <w:rsid w:val="00FF3EC1"/>
    <w:rsid w:val="00FF64BA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1E105D52-A958-CE43-9111-BC8CFA2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7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6F2DB-05BA-0E49-AB24-B14EEE9F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39</cp:revision>
  <cp:lastPrinted>2020-05-21T12:24:00Z</cp:lastPrinted>
  <dcterms:created xsi:type="dcterms:W3CDTF">2020-05-21T08:26:00Z</dcterms:created>
  <dcterms:modified xsi:type="dcterms:W3CDTF">2020-05-29T14:32:00Z</dcterms:modified>
</cp:coreProperties>
</file>